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4346B" w14:textId="0D8105F4" w:rsidR="00FE0858" w:rsidRPr="006E6902" w:rsidRDefault="006E6902" w:rsidP="006E6902">
      <w:pPr>
        <w:spacing w:after="0" w:line="240" w:lineRule="auto"/>
        <w:jc w:val="center"/>
        <w:rPr>
          <w:rFonts w:ascii="Calibri" w:hAnsi="Calibri" w:cs="Arial"/>
          <w:b/>
          <w:bCs/>
          <w:color w:val="000000" w:themeColor="text1"/>
          <w:sz w:val="28"/>
          <w:szCs w:val="28"/>
          <w:u w:val="single"/>
        </w:rPr>
      </w:pPr>
      <w:r w:rsidRPr="006E6902">
        <w:rPr>
          <w:rFonts w:ascii="Calibri" w:hAnsi="Calibri" w:cs="Arial"/>
          <w:b/>
          <w:bCs/>
          <w:color w:val="000000" w:themeColor="text1"/>
          <w:sz w:val="28"/>
          <w:szCs w:val="28"/>
          <w:u w:val="single"/>
        </w:rPr>
        <w:t>OUR DELIVERABLES</w:t>
      </w:r>
    </w:p>
    <w:p w14:paraId="29CE15B8" w14:textId="6223F089" w:rsidR="006E6902" w:rsidRDefault="006E6902" w:rsidP="006E6902">
      <w:pPr>
        <w:spacing w:after="0" w:line="240" w:lineRule="auto"/>
        <w:jc w:val="center"/>
        <w:rPr>
          <w:rFonts w:ascii="Calibri" w:hAnsi="Calibri" w:cs="Arial"/>
          <w:b/>
          <w:bCs/>
          <w:color w:val="000000" w:themeColor="text1"/>
          <w:sz w:val="24"/>
          <w:szCs w:val="24"/>
          <w:u w:val="single"/>
        </w:rPr>
      </w:pPr>
    </w:p>
    <w:tbl>
      <w:tblPr>
        <w:tblW w:w="7920" w:type="dxa"/>
        <w:tblLook w:val="04A0" w:firstRow="1" w:lastRow="0" w:firstColumn="1" w:lastColumn="0" w:noHBand="0" w:noVBand="1"/>
      </w:tblPr>
      <w:tblGrid>
        <w:gridCol w:w="2020"/>
        <w:gridCol w:w="1600"/>
        <w:gridCol w:w="2020"/>
        <w:gridCol w:w="2280"/>
      </w:tblGrid>
      <w:tr w:rsidR="006E6902" w:rsidRPr="006E6902" w14:paraId="18CB7419" w14:textId="77777777" w:rsidTr="006E6902">
        <w:trPr>
          <w:trHeight w:val="315"/>
        </w:trPr>
        <w:tc>
          <w:tcPr>
            <w:tcW w:w="202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3A973E2" w14:textId="77777777" w:rsidR="006E6902" w:rsidRPr="006E6902" w:rsidRDefault="006E6902" w:rsidP="006E6902">
            <w:pPr>
              <w:spacing w:after="0" w:line="240" w:lineRule="auto"/>
              <w:rPr>
                <w:rFonts w:ascii="Calibri" w:eastAsia="Times New Roman" w:hAnsi="Calibri" w:cs="Calibri"/>
                <w:sz w:val="18"/>
                <w:lang w:val="en-GB" w:eastAsia="en-GB"/>
              </w:rPr>
            </w:pPr>
            <w:r w:rsidRPr="006E6902">
              <w:rPr>
                <w:rFonts w:ascii="Calibri" w:eastAsia="Times New Roman" w:hAnsi="Calibri" w:cs="Calibri"/>
                <w:sz w:val="18"/>
                <w:lang w:val="en-GB" w:eastAsia="en-GB"/>
              </w:rPr>
              <w:t>Ongoing Service</w:t>
            </w:r>
          </w:p>
        </w:tc>
        <w:tc>
          <w:tcPr>
            <w:tcW w:w="1600" w:type="dxa"/>
            <w:tcBorders>
              <w:top w:val="single" w:sz="8" w:space="0" w:color="000000"/>
              <w:left w:val="single" w:sz="8" w:space="0" w:color="000000"/>
              <w:bottom w:val="single" w:sz="8" w:space="0" w:color="000000"/>
              <w:right w:val="single" w:sz="8" w:space="0" w:color="000000"/>
            </w:tcBorders>
            <w:shd w:val="clear" w:color="000000" w:fill="F2DBDB"/>
            <w:noWrap/>
            <w:vAlign w:val="bottom"/>
            <w:hideMark/>
          </w:tcPr>
          <w:p w14:paraId="76CF8CF3" w14:textId="53166AE1" w:rsidR="006E6902" w:rsidRPr="006E6902" w:rsidRDefault="006E6902" w:rsidP="006E6902">
            <w:pPr>
              <w:spacing w:after="0" w:line="240" w:lineRule="auto"/>
              <w:jc w:val="center"/>
              <w:rPr>
                <w:rFonts w:ascii="Calibri" w:eastAsia="Times New Roman" w:hAnsi="Calibri" w:cs="Calibri"/>
                <w:sz w:val="18"/>
                <w:lang w:val="en-GB" w:eastAsia="en-GB"/>
              </w:rPr>
            </w:pPr>
            <w:r w:rsidRPr="006E6902">
              <w:rPr>
                <w:rFonts w:ascii="Calibri" w:eastAsia="Times New Roman" w:hAnsi="Calibri" w:cs="Calibri"/>
                <w:sz w:val="18"/>
                <w:lang w:val="en-GB" w:eastAsia="en-GB"/>
              </w:rPr>
              <w:t>Transactional</w:t>
            </w:r>
          </w:p>
        </w:tc>
        <w:tc>
          <w:tcPr>
            <w:tcW w:w="2020" w:type="dxa"/>
            <w:tcBorders>
              <w:top w:val="single" w:sz="8" w:space="0" w:color="000000"/>
              <w:left w:val="single" w:sz="8" w:space="0" w:color="000000"/>
              <w:bottom w:val="single" w:sz="8" w:space="0" w:color="000000"/>
              <w:right w:val="single" w:sz="8" w:space="0" w:color="000000"/>
            </w:tcBorders>
            <w:shd w:val="clear" w:color="000000" w:fill="FBD4B4"/>
            <w:noWrap/>
            <w:vAlign w:val="bottom"/>
            <w:hideMark/>
          </w:tcPr>
          <w:p w14:paraId="135F3D0B" w14:textId="77777777" w:rsidR="006E6902" w:rsidRPr="006E6902" w:rsidRDefault="006E6902" w:rsidP="006E6902">
            <w:pPr>
              <w:spacing w:after="0" w:line="240" w:lineRule="auto"/>
              <w:jc w:val="center"/>
              <w:rPr>
                <w:rFonts w:ascii="Calibri" w:eastAsia="Times New Roman" w:hAnsi="Calibri" w:cs="Calibri"/>
                <w:sz w:val="18"/>
                <w:lang w:val="en-GB" w:eastAsia="en-GB"/>
              </w:rPr>
            </w:pPr>
            <w:r w:rsidRPr="006E6902">
              <w:rPr>
                <w:rFonts w:ascii="Calibri" w:eastAsia="Times New Roman" w:hAnsi="Calibri" w:cs="Calibri"/>
                <w:sz w:val="18"/>
                <w:lang w:val="en-GB" w:eastAsia="en-GB"/>
              </w:rPr>
              <w:t>Financial Planning</w:t>
            </w:r>
          </w:p>
        </w:tc>
        <w:tc>
          <w:tcPr>
            <w:tcW w:w="2280" w:type="dxa"/>
            <w:tcBorders>
              <w:top w:val="single" w:sz="8" w:space="0" w:color="000000"/>
              <w:left w:val="single" w:sz="8" w:space="0" w:color="000000"/>
              <w:bottom w:val="single" w:sz="8" w:space="0" w:color="000000"/>
              <w:right w:val="single" w:sz="8" w:space="0" w:color="000000"/>
            </w:tcBorders>
            <w:shd w:val="clear" w:color="000000" w:fill="DBE3BC"/>
            <w:noWrap/>
            <w:vAlign w:val="bottom"/>
            <w:hideMark/>
          </w:tcPr>
          <w:p w14:paraId="47B57EBA" w14:textId="77777777" w:rsidR="006E6902" w:rsidRPr="006E6902" w:rsidRDefault="006E6902" w:rsidP="006E6902">
            <w:pPr>
              <w:spacing w:after="0" w:line="240" w:lineRule="auto"/>
              <w:jc w:val="center"/>
              <w:rPr>
                <w:rFonts w:ascii="Calibri" w:eastAsia="Times New Roman" w:hAnsi="Calibri" w:cs="Calibri"/>
                <w:sz w:val="18"/>
                <w:lang w:val="en-GB" w:eastAsia="en-GB"/>
              </w:rPr>
            </w:pPr>
            <w:r w:rsidRPr="006E6902">
              <w:rPr>
                <w:rFonts w:ascii="Calibri" w:eastAsia="Times New Roman" w:hAnsi="Calibri" w:cs="Calibri"/>
                <w:sz w:val="18"/>
                <w:lang w:val="en-GB" w:eastAsia="en-GB"/>
              </w:rPr>
              <w:t>Wealth Management</w:t>
            </w:r>
          </w:p>
        </w:tc>
      </w:tr>
      <w:tr w:rsidR="006E6902" w:rsidRPr="006E6902" w14:paraId="515E8E57" w14:textId="77777777" w:rsidTr="006E6902">
        <w:trPr>
          <w:trHeight w:val="780"/>
        </w:trPr>
        <w:tc>
          <w:tcPr>
            <w:tcW w:w="202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031A458" w14:textId="77777777" w:rsidR="006E6902" w:rsidRPr="006E6902" w:rsidRDefault="006E6902" w:rsidP="006E6902">
            <w:pPr>
              <w:spacing w:after="0" w:line="240" w:lineRule="auto"/>
              <w:rPr>
                <w:rFonts w:ascii="Calibri" w:eastAsia="Times New Roman" w:hAnsi="Calibri" w:cs="Calibri"/>
                <w:color w:val="000000"/>
                <w:sz w:val="18"/>
                <w:lang w:val="en-GB" w:eastAsia="en-GB"/>
              </w:rPr>
            </w:pPr>
            <w:proofErr w:type="spellStart"/>
            <w:r w:rsidRPr="006E6902">
              <w:rPr>
                <w:rFonts w:ascii="Calibri" w:eastAsia="Times New Roman" w:hAnsi="Calibri" w:cs="Calibri"/>
                <w:color w:val="000000"/>
                <w:sz w:val="18"/>
                <w:lang w:val="en-GB" w:eastAsia="en-GB"/>
              </w:rPr>
              <w:t>Acces</w:t>
            </w:r>
            <w:proofErr w:type="spellEnd"/>
            <w:r w:rsidRPr="006E6902">
              <w:rPr>
                <w:rFonts w:ascii="Calibri" w:eastAsia="Times New Roman" w:hAnsi="Calibri" w:cs="Calibri"/>
                <w:color w:val="000000"/>
                <w:sz w:val="18"/>
                <w:lang w:val="en-GB" w:eastAsia="en-GB"/>
              </w:rPr>
              <w:t xml:space="preserve"> to your Adviser, as required during the year</w:t>
            </w:r>
          </w:p>
        </w:tc>
        <w:tc>
          <w:tcPr>
            <w:tcW w:w="1600" w:type="dxa"/>
            <w:tcBorders>
              <w:top w:val="single" w:sz="8" w:space="0" w:color="000000"/>
              <w:left w:val="single" w:sz="8" w:space="0" w:color="000000"/>
              <w:bottom w:val="single" w:sz="8" w:space="0" w:color="000000"/>
              <w:right w:val="single" w:sz="8" w:space="0" w:color="000000"/>
            </w:tcBorders>
            <w:shd w:val="clear" w:color="000000" w:fill="F2DBDB"/>
            <w:noWrap/>
            <w:vAlign w:val="center"/>
            <w:hideMark/>
          </w:tcPr>
          <w:p w14:paraId="1B7AA5D4" w14:textId="77777777" w:rsidR="006E6902" w:rsidRPr="006E6902" w:rsidRDefault="006E6902" w:rsidP="006E6902">
            <w:pPr>
              <w:spacing w:after="0" w:line="240" w:lineRule="auto"/>
              <w:jc w:val="center"/>
              <w:rPr>
                <w:rFonts w:ascii="Calibri" w:eastAsia="Times New Roman" w:hAnsi="Calibri" w:cs="Calibri"/>
                <w:color w:val="000000"/>
                <w:sz w:val="18"/>
                <w:lang w:val="en-GB" w:eastAsia="en-GB"/>
              </w:rPr>
            </w:pPr>
            <w:r w:rsidRPr="006E6902">
              <w:rPr>
                <w:rFonts w:ascii="Calibri" w:eastAsia="Times New Roman" w:hAnsi="Calibri" w:cs="Calibri"/>
                <w:color w:val="000000"/>
                <w:sz w:val="18"/>
                <w:lang w:val="en-GB" w:eastAsia="en-GB"/>
              </w:rPr>
              <w:t> </w:t>
            </w:r>
          </w:p>
        </w:tc>
        <w:tc>
          <w:tcPr>
            <w:tcW w:w="2020" w:type="dxa"/>
            <w:tcBorders>
              <w:top w:val="single" w:sz="8" w:space="0" w:color="000000"/>
              <w:left w:val="single" w:sz="8" w:space="0" w:color="000000"/>
              <w:bottom w:val="single" w:sz="8" w:space="0" w:color="000000"/>
              <w:right w:val="single" w:sz="8" w:space="0" w:color="000000"/>
            </w:tcBorders>
            <w:shd w:val="clear" w:color="000000" w:fill="FBD4B4"/>
            <w:noWrap/>
            <w:vAlign w:val="center"/>
            <w:hideMark/>
          </w:tcPr>
          <w:p w14:paraId="4B387208" w14:textId="77777777" w:rsidR="006E6902" w:rsidRPr="006E6902" w:rsidRDefault="006E6902" w:rsidP="006E6902">
            <w:pPr>
              <w:spacing w:after="0" w:line="240" w:lineRule="auto"/>
              <w:jc w:val="center"/>
              <w:rPr>
                <w:rFonts w:ascii="Times New Roman" w:eastAsia="Times New Roman" w:hAnsi="Times New Roman"/>
                <w:color w:val="000000"/>
                <w:sz w:val="18"/>
                <w:lang w:val="en-GB" w:eastAsia="en-GB"/>
              </w:rPr>
            </w:pPr>
            <w:r w:rsidRPr="006E6902">
              <w:rPr>
                <w:rFonts w:ascii="Times New Roman" w:eastAsia="Times New Roman" w:hAnsi="Times New Roman"/>
                <w:color w:val="000000"/>
                <w:sz w:val="18"/>
                <w:lang w:val="en-GB" w:eastAsia="en-GB"/>
              </w:rPr>
              <w:t>•</w:t>
            </w:r>
          </w:p>
        </w:tc>
        <w:tc>
          <w:tcPr>
            <w:tcW w:w="2280" w:type="dxa"/>
            <w:tcBorders>
              <w:top w:val="single" w:sz="8" w:space="0" w:color="000000"/>
              <w:left w:val="single" w:sz="8" w:space="0" w:color="000000"/>
              <w:bottom w:val="single" w:sz="8" w:space="0" w:color="000000"/>
              <w:right w:val="single" w:sz="8" w:space="0" w:color="000000"/>
            </w:tcBorders>
            <w:shd w:val="clear" w:color="000000" w:fill="DBE3BC"/>
            <w:noWrap/>
            <w:vAlign w:val="center"/>
            <w:hideMark/>
          </w:tcPr>
          <w:p w14:paraId="4F7B89B4" w14:textId="77777777" w:rsidR="006E6902" w:rsidRPr="006E6902" w:rsidRDefault="006E6902" w:rsidP="006E6902">
            <w:pPr>
              <w:spacing w:after="0" w:line="240" w:lineRule="auto"/>
              <w:jc w:val="center"/>
              <w:rPr>
                <w:rFonts w:ascii="Times New Roman" w:eastAsia="Times New Roman" w:hAnsi="Times New Roman"/>
                <w:color w:val="000000"/>
                <w:sz w:val="18"/>
                <w:lang w:val="en-GB" w:eastAsia="en-GB"/>
              </w:rPr>
            </w:pPr>
            <w:r w:rsidRPr="006E6902">
              <w:rPr>
                <w:rFonts w:ascii="Times New Roman" w:eastAsia="Times New Roman" w:hAnsi="Times New Roman"/>
                <w:color w:val="000000"/>
                <w:sz w:val="18"/>
                <w:lang w:val="en-GB" w:eastAsia="en-GB"/>
              </w:rPr>
              <w:t>•</w:t>
            </w:r>
          </w:p>
        </w:tc>
      </w:tr>
      <w:tr w:rsidR="006E6902" w:rsidRPr="006E6902" w14:paraId="4819B7FA" w14:textId="77777777" w:rsidTr="006E6902">
        <w:trPr>
          <w:trHeight w:val="765"/>
        </w:trPr>
        <w:tc>
          <w:tcPr>
            <w:tcW w:w="202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387722D" w14:textId="77777777" w:rsidR="006E6902" w:rsidRPr="006E6902" w:rsidRDefault="006E6902" w:rsidP="006E6902">
            <w:pPr>
              <w:spacing w:after="0" w:line="240" w:lineRule="auto"/>
              <w:rPr>
                <w:rFonts w:ascii="Calibri" w:eastAsia="Times New Roman" w:hAnsi="Calibri" w:cs="Calibri"/>
                <w:color w:val="000000"/>
                <w:sz w:val="18"/>
                <w:lang w:val="en-GB" w:eastAsia="en-GB"/>
              </w:rPr>
            </w:pPr>
            <w:r w:rsidRPr="006E6902">
              <w:rPr>
                <w:rFonts w:ascii="Calibri" w:eastAsia="Times New Roman" w:hAnsi="Calibri" w:cs="Calibri"/>
                <w:color w:val="000000"/>
                <w:sz w:val="18"/>
                <w:lang w:eastAsia="en-GB"/>
              </w:rPr>
              <w:t>Annual assessment of personal situation and risk profiling</w:t>
            </w:r>
          </w:p>
        </w:tc>
        <w:tc>
          <w:tcPr>
            <w:tcW w:w="1600" w:type="dxa"/>
            <w:tcBorders>
              <w:top w:val="single" w:sz="8" w:space="0" w:color="000000"/>
              <w:left w:val="single" w:sz="8" w:space="0" w:color="000000"/>
              <w:bottom w:val="single" w:sz="8" w:space="0" w:color="000000"/>
              <w:right w:val="single" w:sz="8" w:space="0" w:color="000000"/>
            </w:tcBorders>
            <w:shd w:val="clear" w:color="000000" w:fill="F2DBDB"/>
            <w:noWrap/>
            <w:vAlign w:val="center"/>
            <w:hideMark/>
          </w:tcPr>
          <w:p w14:paraId="6E3408A1" w14:textId="77777777" w:rsidR="006E6902" w:rsidRPr="006E6902" w:rsidRDefault="006E6902" w:rsidP="006E6902">
            <w:pPr>
              <w:spacing w:after="0" w:line="240" w:lineRule="auto"/>
              <w:jc w:val="center"/>
              <w:rPr>
                <w:rFonts w:ascii="Calibri" w:eastAsia="Times New Roman" w:hAnsi="Calibri" w:cs="Calibri"/>
                <w:color w:val="000000"/>
                <w:sz w:val="18"/>
                <w:lang w:val="en-GB" w:eastAsia="en-GB"/>
              </w:rPr>
            </w:pPr>
            <w:r w:rsidRPr="006E6902">
              <w:rPr>
                <w:rFonts w:ascii="Calibri" w:eastAsia="Times New Roman" w:hAnsi="Calibri" w:cs="Calibri"/>
                <w:color w:val="000000"/>
                <w:sz w:val="18"/>
                <w:lang w:val="en-GB" w:eastAsia="en-GB"/>
              </w:rPr>
              <w:t> </w:t>
            </w:r>
          </w:p>
        </w:tc>
        <w:tc>
          <w:tcPr>
            <w:tcW w:w="2020" w:type="dxa"/>
            <w:tcBorders>
              <w:top w:val="single" w:sz="8" w:space="0" w:color="000000"/>
              <w:left w:val="single" w:sz="8" w:space="0" w:color="000000"/>
              <w:bottom w:val="single" w:sz="8" w:space="0" w:color="000000"/>
              <w:right w:val="single" w:sz="8" w:space="0" w:color="000000"/>
            </w:tcBorders>
            <w:shd w:val="clear" w:color="000000" w:fill="FBD4B4"/>
            <w:noWrap/>
            <w:vAlign w:val="center"/>
            <w:hideMark/>
          </w:tcPr>
          <w:p w14:paraId="5D3BF1FC" w14:textId="77777777" w:rsidR="006E6902" w:rsidRPr="006E6902" w:rsidRDefault="006E6902" w:rsidP="006E6902">
            <w:pPr>
              <w:spacing w:after="0" w:line="240" w:lineRule="auto"/>
              <w:jc w:val="center"/>
              <w:rPr>
                <w:rFonts w:ascii="Times New Roman" w:eastAsia="Times New Roman" w:hAnsi="Times New Roman"/>
                <w:color w:val="000000"/>
                <w:sz w:val="18"/>
                <w:lang w:val="en-GB" w:eastAsia="en-GB"/>
              </w:rPr>
            </w:pPr>
            <w:r w:rsidRPr="006E6902">
              <w:rPr>
                <w:rFonts w:ascii="Times New Roman" w:eastAsia="Times New Roman" w:hAnsi="Times New Roman"/>
                <w:color w:val="000000"/>
                <w:sz w:val="18"/>
                <w:lang w:val="en-GB" w:eastAsia="en-GB"/>
              </w:rPr>
              <w:t>•</w:t>
            </w:r>
          </w:p>
        </w:tc>
        <w:tc>
          <w:tcPr>
            <w:tcW w:w="2280" w:type="dxa"/>
            <w:tcBorders>
              <w:top w:val="single" w:sz="8" w:space="0" w:color="000000"/>
              <w:left w:val="single" w:sz="8" w:space="0" w:color="000000"/>
              <w:bottom w:val="single" w:sz="8" w:space="0" w:color="000000"/>
              <w:right w:val="single" w:sz="8" w:space="0" w:color="000000"/>
            </w:tcBorders>
            <w:shd w:val="clear" w:color="000000" w:fill="DBE3BC"/>
            <w:noWrap/>
            <w:vAlign w:val="center"/>
            <w:hideMark/>
          </w:tcPr>
          <w:p w14:paraId="5FBF4728" w14:textId="77777777" w:rsidR="006E6902" w:rsidRPr="006E6902" w:rsidRDefault="006E6902" w:rsidP="006E6902">
            <w:pPr>
              <w:spacing w:after="0" w:line="240" w:lineRule="auto"/>
              <w:jc w:val="center"/>
              <w:rPr>
                <w:rFonts w:ascii="Times New Roman" w:eastAsia="Times New Roman" w:hAnsi="Times New Roman"/>
                <w:color w:val="000000"/>
                <w:sz w:val="18"/>
                <w:lang w:val="en-GB" w:eastAsia="en-GB"/>
              </w:rPr>
            </w:pPr>
            <w:r w:rsidRPr="006E6902">
              <w:rPr>
                <w:rFonts w:ascii="Times New Roman" w:eastAsia="Times New Roman" w:hAnsi="Times New Roman"/>
                <w:color w:val="000000"/>
                <w:sz w:val="18"/>
                <w:lang w:val="en-GB" w:eastAsia="en-GB"/>
              </w:rPr>
              <w:t>•</w:t>
            </w:r>
          </w:p>
        </w:tc>
      </w:tr>
      <w:tr w:rsidR="006E6902" w:rsidRPr="006E6902" w14:paraId="607DD760" w14:textId="77777777" w:rsidTr="006E6902">
        <w:trPr>
          <w:trHeight w:val="825"/>
        </w:trPr>
        <w:tc>
          <w:tcPr>
            <w:tcW w:w="202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DB3C19F" w14:textId="77777777" w:rsidR="006E6902" w:rsidRPr="006E6902" w:rsidRDefault="006E6902" w:rsidP="006E6902">
            <w:pPr>
              <w:spacing w:after="0" w:line="240" w:lineRule="auto"/>
              <w:rPr>
                <w:rFonts w:ascii="Calibri" w:eastAsia="Times New Roman" w:hAnsi="Calibri" w:cs="Calibri"/>
                <w:color w:val="000000"/>
                <w:sz w:val="18"/>
                <w:lang w:val="en-GB" w:eastAsia="en-GB"/>
              </w:rPr>
            </w:pPr>
            <w:r w:rsidRPr="006E6902">
              <w:rPr>
                <w:rFonts w:ascii="Calibri" w:eastAsia="Times New Roman" w:hAnsi="Calibri" w:cs="Calibri"/>
                <w:color w:val="000000"/>
                <w:sz w:val="18"/>
                <w:lang w:val="en-GB" w:eastAsia="en-GB"/>
              </w:rPr>
              <w:t>Consolidated annual investment report and valuation</w:t>
            </w:r>
          </w:p>
        </w:tc>
        <w:tc>
          <w:tcPr>
            <w:tcW w:w="1600" w:type="dxa"/>
            <w:tcBorders>
              <w:top w:val="single" w:sz="8" w:space="0" w:color="000000"/>
              <w:left w:val="single" w:sz="8" w:space="0" w:color="000000"/>
              <w:bottom w:val="single" w:sz="8" w:space="0" w:color="000000"/>
              <w:right w:val="single" w:sz="8" w:space="0" w:color="000000"/>
            </w:tcBorders>
            <w:shd w:val="clear" w:color="000000" w:fill="F2DBDB"/>
            <w:noWrap/>
            <w:vAlign w:val="center"/>
            <w:hideMark/>
          </w:tcPr>
          <w:p w14:paraId="1417B566" w14:textId="77777777" w:rsidR="006E6902" w:rsidRPr="006E6902" w:rsidRDefault="006E6902" w:rsidP="006E6902">
            <w:pPr>
              <w:spacing w:after="0" w:line="240" w:lineRule="auto"/>
              <w:jc w:val="center"/>
              <w:rPr>
                <w:rFonts w:ascii="Calibri" w:eastAsia="Times New Roman" w:hAnsi="Calibri" w:cs="Calibri"/>
                <w:color w:val="000000"/>
                <w:sz w:val="18"/>
                <w:lang w:val="en-GB" w:eastAsia="en-GB"/>
              </w:rPr>
            </w:pPr>
            <w:r w:rsidRPr="006E6902">
              <w:rPr>
                <w:rFonts w:ascii="Calibri" w:eastAsia="Times New Roman" w:hAnsi="Calibri" w:cs="Calibri"/>
                <w:color w:val="000000"/>
                <w:sz w:val="18"/>
                <w:lang w:val="en-GB" w:eastAsia="en-GB"/>
              </w:rPr>
              <w:t> </w:t>
            </w:r>
          </w:p>
        </w:tc>
        <w:tc>
          <w:tcPr>
            <w:tcW w:w="2020" w:type="dxa"/>
            <w:tcBorders>
              <w:top w:val="single" w:sz="8" w:space="0" w:color="000000"/>
              <w:left w:val="single" w:sz="8" w:space="0" w:color="000000"/>
              <w:bottom w:val="single" w:sz="8" w:space="0" w:color="000000"/>
              <w:right w:val="single" w:sz="8" w:space="0" w:color="000000"/>
            </w:tcBorders>
            <w:shd w:val="clear" w:color="000000" w:fill="FBD4B4"/>
            <w:noWrap/>
            <w:vAlign w:val="center"/>
            <w:hideMark/>
          </w:tcPr>
          <w:p w14:paraId="6C96CC37" w14:textId="77777777" w:rsidR="006E6902" w:rsidRPr="006E6902" w:rsidRDefault="006E6902" w:rsidP="006E6902">
            <w:pPr>
              <w:spacing w:after="0" w:line="240" w:lineRule="auto"/>
              <w:jc w:val="center"/>
              <w:rPr>
                <w:rFonts w:ascii="Times New Roman" w:eastAsia="Times New Roman" w:hAnsi="Times New Roman"/>
                <w:color w:val="000000"/>
                <w:sz w:val="18"/>
                <w:lang w:val="en-GB" w:eastAsia="en-GB"/>
              </w:rPr>
            </w:pPr>
            <w:r w:rsidRPr="006E6902">
              <w:rPr>
                <w:rFonts w:ascii="Times New Roman" w:eastAsia="Times New Roman" w:hAnsi="Times New Roman"/>
                <w:color w:val="000000"/>
                <w:sz w:val="18"/>
                <w:lang w:val="en-GB" w:eastAsia="en-GB"/>
              </w:rPr>
              <w:t>•</w:t>
            </w:r>
          </w:p>
        </w:tc>
        <w:tc>
          <w:tcPr>
            <w:tcW w:w="2280" w:type="dxa"/>
            <w:tcBorders>
              <w:top w:val="single" w:sz="8" w:space="0" w:color="000000"/>
              <w:left w:val="single" w:sz="8" w:space="0" w:color="000000"/>
              <w:bottom w:val="single" w:sz="8" w:space="0" w:color="000000"/>
              <w:right w:val="single" w:sz="8" w:space="0" w:color="000000"/>
            </w:tcBorders>
            <w:shd w:val="clear" w:color="000000" w:fill="DBE3BC"/>
            <w:noWrap/>
            <w:vAlign w:val="center"/>
            <w:hideMark/>
          </w:tcPr>
          <w:p w14:paraId="702542BA" w14:textId="77777777" w:rsidR="006E6902" w:rsidRPr="006E6902" w:rsidRDefault="006E6902" w:rsidP="006E6902">
            <w:pPr>
              <w:spacing w:after="0" w:line="240" w:lineRule="auto"/>
              <w:jc w:val="center"/>
              <w:rPr>
                <w:rFonts w:ascii="Times New Roman" w:eastAsia="Times New Roman" w:hAnsi="Times New Roman"/>
                <w:color w:val="000000"/>
                <w:sz w:val="18"/>
                <w:lang w:val="en-GB" w:eastAsia="en-GB"/>
              </w:rPr>
            </w:pPr>
            <w:r w:rsidRPr="006E6902">
              <w:rPr>
                <w:rFonts w:ascii="Times New Roman" w:eastAsia="Times New Roman" w:hAnsi="Times New Roman"/>
                <w:color w:val="000000"/>
                <w:sz w:val="18"/>
                <w:lang w:val="en-GB" w:eastAsia="en-GB"/>
              </w:rPr>
              <w:t>•</w:t>
            </w:r>
          </w:p>
        </w:tc>
      </w:tr>
      <w:tr w:rsidR="006E6902" w:rsidRPr="006E6902" w14:paraId="623873AC" w14:textId="77777777" w:rsidTr="006E6902">
        <w:trPr>
          <w:trHeight w:val="735"/>
        </w:trPr>
        <w:tc>
          <w:tcPr>
            <w:tcW w:w="202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6BC56D0" w14:textId="77777777" w:rsidR="006E6902" w:rsidRPr="006E6902" w:rsidRDefault="006E6902" w:rsidP="006E6902">
            <w:pPr>
              <w:spacing w:after="0" w:line="240" w:lineRule="auto"/>
              <w:rPr>
                <w:rFonts w:ascii="Calibri" w:eastAsia="Times New Roman" w:hAnsi="Calibri" w:cs="Calibri"/>
                <w:color w:val="000000"/>
                <w:sz w:val="18"/>
                <w:lang w:val="en-GB" w:eastAsia="en-GB"/>
              </w:rPr>
            </w:pPr>
            <w:r w:rsidRPr="006E6902">
              <w:rPr>
                <w:rFonts w:ascii="Calibri" w:eastAsia="Times New Roman" w:hAnsi="Calibri" w:cs="Calibri"/>
                <w:color w:val="000000"/>
                <w:sz w:val="18"/>
                <w:lang w:val="en-GB" w:eastAsia="en-GB"/>
              </w:rPr>
              <w:t>Unlimited telephone and email support and advice</w:t>
            </w:r>
          </w:p>
        </w:tc>
        <w:tc>
          <w:tcPr>
            <w:tcW w:w="1600" w:type="dxa"/>
            <w:tcBorders>
              <w:top w:val="single" w:sz="8" w:space="0" w:color="000000"/>
              <w:left w:val="single" w:sz="8" w:space="0" w:color="000000"/>
              <w:bottom w:val="single" w:sz="8" w:space="0" w:color="000000"/>
              <w:right w:val="single" w:sz="8" w:space="0" w:color="000000"/>
            </w:tcBorders>
            <w:shd w:val="clear" w:color="000000" w:fill="F2DBDB"/>
            <w:noWrap/>
            <w:vAlign w:val="center"/>
            <w:hideMark/>
          </w:tcPr>
          <w:p w14:paraId="125B5AB5" w14:textId="77777777" w:rsidR="006E6902" w:rsidRPr="006E6902" w:rsidRDefault="006E6902" w:rsidP="006E6902">
            <w:pPr>
              <w:spacing w:after="0" w:line="240" w:lineRule="auto"/>
              <w:jc w:val="center"/>
              <w:rPr>
                <w:rFonts w:ascii="Calibri" w:eastAsia="Times New Roman" w:hAnsi="Calibri" w:cs="Calibri"/>
                <w:color w:val="000000"/>
                <w:sz w:val="18"/>
                <w:lang w:val="en-GB" w:eastAsia="en-GB"/>
              </w:rPr>
            </w:pPr>
            <w:r w:rsidRPr="006E6902">
              <w:rPr>
                <w:rFonts w:ascii="Calibri" w:eastAsia="Times New Roman" w:hAnsi="Calibri" w:cs="Calibri"/>
                <w:color w:val="000000"/>
                <w:sz w:val="18"/>
                <w:lang w:val="en-GB" w:eastAsia="en-GB"/>
              </w:rPr>
              <w:t> </w:t>
            </w:r>
          </w:p>
        </w:tc>
        <w:tc>
          <w:tcPr>
            <w:tcW w:w="2020" w:type="dxa"/>
            <w:tcBorders>
              <w:top w:val="single" w:sz="8" w:space="0" w:color="000000"/>
              <w:left w:val="single" w:sz="8" w:space="0" w:color="000000"/>
              <w:bottom w:val="single" w:sz="8" w:space="0" w:color="000000"/>
              <w:right w:val="single" w:sz="8" w:space="0" w:color="000000"/>
            </w:tcBorders>
            <w:shd w:val="clear" w:color="000000" w:fill="FBD4B4"/>
            <w:noWrap/>
            <w:vAlign w:val="center"/>
            <w:hideMark/>
          </w:tcPr>
          <w:p w14:paraId="55B38FDE" w14:textId="77777777" w:rsidR="006E6902" w:rsidRPr="006E6902" w:rsidRDefault="006E6902" w:rsidP="006E6902">
            <w:pPr>
              <w:spacing w:after="0" w:line="240" w:lineRule="auto"/>
              <w:jc w:val="center"/>
              <w:rPr>
                <w:rFonts w:ascii="Times New Roman" w:eastAsia="Times New Roman" w:hAnsi="Times New Roman"/>
                <w:color w:val="000000"/>
                <w:sz w:val="18"/>
                <w:lang w:val="en-GB" w:eastAsia="en-GB"/>
              </w:rPr>
            </w:pPr>
            <w:r w:rsidRPr="006E6902">
              <w:rPr>
                <w:rFonts w:ascii="Times New Roman" w:eastAsia="Times New Roman" w:hAnsi="Times New Roman"/>
                <w:color w:val="000000"/>
                <w:sz w:val="18"/>
                <w:lang w:val="en-GB" w:eastAsia="en-GB"/>
              </w:rPr>
              <w:t>•</w:t>
            </w:r>
          </w:p>
        </w:tc>
        <w:tc>
          <w:tcPr>
            <w:tcW w:w="2280" w:type="dxa"/>
            <w:tcBorders>
              <w:top w:val="single" w:sz="8" w:space="0" w:color="000000"/>
              <w:left w:val="single" w:sz="8" w:space="0" w:color="000000"/>
              <w:bottom w:val="single" w:sz="8" w:space="0" w:color="000000"/>
              <w:right w:val="single" w:sz="8" w:space="0" w:color="000000"/>
            </w:tcBorders>
            <w:shd w:val="clear" w:color="000000" w:fill="DBE3BC"/>
            <w:noWrap/>
            <w:vAlign w:val="center"/>
            <w:hideMark/>
          </w:tcPr>
          <w:p w14:paraId="64A327BD" w14:textId="77777777" w:rsidR="006E6902" w:rsidRPr="006E6902" w:rsidRDefault="006E6902" w:rsidP="006E6902">
            <w:pPr>
              <w:spacing w:after="0" w:line="240" w:lineRule="auto"/>
              <w:jc w:val="center"/>
              <w:rPr>
                <w:rFonts w:ascii="Times New Roman" w:eastAsia="Times New Roman" w:hAnsi="Times New Roman"/>
                <w:color w:val="000000"/>
                <w:sz w:val="18"/>
                <w:lang w:val="en-GB" w:eastAsia="en-GB"/>
              </w:rPr>
            </w:pPr>
            <w:r w:rsidRPr="006E6902">
              <w:rPr>
                <w:rFonts w:ascii="Times New Roman" w:eastAsia="Times New Roman" w:hAnsi="Times New Roman"/>
                <w:color w:val="000000"/>
                <w:sz w:val="18"/>
                <w:lang w:val="en-GB" w:eastAsia="en-GB"/>
              </w:rPr>
              <w:t>•</w:t>
            </w:r>
          </w:p>
        </w:tc>
      </w:tr>
      <w:tr w:rsidR="006E6902" w:rsidRPr="006E6902" w14:paraId="7AF93B53" w14:textId="77777777" w:rsidTr="006E6902">
        <w:trPr>
          <w:trHeight w:val="975"/>
        </w:trPr>
        <w:tc>
          <w:tcPr>
            <w:tcW w:w="202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ABA6A8C" w14:textId="77777777" w:rsidR="006E6902" w:rsidRPr="006E6902" w:rsidRDefault="006E6902" w:rsidP="006E6902">
            <w:pPr>
              <w:spacing w:after="0" w:line="240" w:lineRule="auto"/>
              <w:rPr>
                <w:rFonts w:ascii="Calibri" w:eastAsia="Times New Roman" w:hAnsi="Calibri" w:cs="Calibri"/>
                <w:color w:val="000000"/>
                <w:sz w:val="18"/>
                <w:lang w:val="en-GB" w:eastAsia="en-GB"/>
              </w:rPr>
            </w:pPr>
            <w:r w:rsidRPr="006E6902">
              <w:rPr>
                <w:rFonts w:ascii="Calibri" w:eastAsia="Times New Roman" w:hAnsi="Calibri" w:cs="Calibri"/>
                <w:color w:val="000000"/>
                <w:sz w:val="18"/>
                <w:lang w:eastAsia="en-GB"/>
              </w:rPr>
              <w:t>Annual assessment of suitability of products and funds, including performance</w:t>
            </w:r>
          </w:p>
        </w:tc>
        <w:tc>
          <w:tcPr>
            <w:tcW w:w="1600" w:type="dxa"/>
            <w:tcBorders>
              <w:top w:val="single" w:sz="8" w:space="0" w:color="000000"/>
              <w:left w:val="single" w:sz="8" w:space="0" w:color="000000"/>
              <w:bottom w:val="single" w:sz="8" w:space="0" w:color="000000"/>
              <w:right w:val="single" w:sz="8" w:space="0" w:color="000000"/>
            </w:tcBorders>
            <w:shd w:val="clear" w:color="000000" w:fill="F2DBDB"/>
            <w:noWrap/>
            <w:vAlign w:val="center"/>
            <w:hideMark/>
          </w:tcPr>
          <w:p w14:paraId="4C964743" w14:textId="77777777" w:rsidR="006E6902" w:rsidRPr="006E6902" w:rsidRDefault="006E6902" w:rsidP="006E6902">
            <w:pPr>
              <w:spacing w:after="0" w:line="240" w:lineRule="auto"/>
              <w:jc w:val="center"/>
              <w:rPr>
                <w:rFonts w:ascii="Calibri" w:eastAsia="Times New Roman" w:hAnsi="Calibri" w:cs="Calibri"/>
                <w:color w:val="000000"/>
                <w:sz w:val="18"/>
                <w:lang w:val="en-GB" w:eastAsia="en-GB"/>
              </w:rPr>
            </w:pPr>
            <w:r w:rsidRPr="006E6902">
              <w:rPr>
                <w:rFonts w:ascii="Calibri" w:eastAsia="Times New Roman" w:hAnsi="Calibri" w:cs="Calibri"/>
                <w:color w:val="000000"/>
                <w:sz w:val="18"/>
                <w:lang w:val="en-GB" w:eastAsia="en-GB"/>
              </w:rPr>
              <w:t> </w:t>
            </w:r>
          </w:p>
        </w:tc>
        <w:tc>
          <w:tcPr>
            <w:tcW w:w="2020" w:type="dxa"/>
            <w:tcBorders>
              <w:top w:val="single" w:sz="8" w:space="0" w:color="000000"/>
              <w:left w:val="single" w:sz="8" w:space="0" w:color="000000"/>
              <w:bottom w:val="single" w:sz="8" w:space="0" w:color="000000"/>
              <w:right w:val="single" w:sz="8" w:space="0" w:color="000000"/>
            </w:tcBorders>
            <w:shd w:val="clear" w:color="000000" w:fill="FBD4B4"/>
            <w:noWrap/>
            <w:vAlign w:val="center"/>
            <w:hideMark/>
          </w:tcPr>
          <w:p w14:paraId="3C38BD57" w14:textId="77777777" w:rsidR="006E6902" w:rsidRPr="006E6902" w:rsidRDefault="006E6902" w:rsidP="006E6902">
            <w:pPr>
              <w:spacing w:after="0" w:line="240" w:lineRule="auto"/>
              <w:jc w:val="center"/>
              <w:rPr>
                <w:rFonts w:ascii="Times New Roman" w:eastAsia="Times New Roman" w:hAnsi="Times New Roman"/>
                <w:color w:val="000000"/>
                <w:sz w:val="18"/>
                <w:lang w:val="en-GB" w:eastAsia="en-GB"/>
              </w:rPr>
            </w:pPr>
            <w:r w:rsidRPr="006E6902">
              <w:rPr>
                <w:rFonts w:ascii="Times New Roman" w:eastAsia="Times New Roman" w:hAnsi="Times New Roman"/>
                <w:color w:val="000000"/>
                <w:sz w:val="18"/>
                <w:lang w:val="en-GB" w:eastAsia="en-GB"/>
              </w:rPr>
              <w:t>•</w:t>
            </w:r>
          </w:p>
        </w:tc>
        <w:tc>
          <w:tcPr>
            <w:tcW w:w="2280" w:type="dxa"/>
            <w:tcBorders>
              <w:top w:val="single" w:sz="8" w:space="0" w:color="000000"/>
              <w:left w:val="single" w:sz="8" w:space="0" w:color="000000"/>
              <w:bottom w:val="single" w:sz="8" w:space="0" w:color="000000"/>
              <w:right w:val="single" w:sz="8" w:space="0" w:color="000000"/>
            </w:tcBorders>
            <w:shd w:val="clear" w:color="000000" w:fill="DBE3BC"/>
            <w:noWrap/>
            <w:vAlign w:val="center"/>
            <w:hideMark/>
          </w:tcPr>
          <w:p w14:paraId="67C490F0" w14:textId="77777777" w:rsidR="006E6902" w:rsidRPr="006E6902" w:rsidRDefault="006E6902" w:rsidP="006E6902">
            <w:pPr>
              <w:spacing w:after="0" w:line="240" w:lineRule="auto"/>
              <w:jc w:val="center"/>
              <w:rPr>
                <w:rFonts w:ascii="Times New Roman" w:eastAsia="Times New Roman" w:hAnsi="Times New Roman"/>
                <w:color w:val="000000"/>
                <w:sz w:val="18"/>
                <w:lang w:val="en-GB" w:eastAsia="en-GB"/>
              </w:rPr>
            </w:pPr>
            <w:r w:rsidRPr="006E6902">
              <w:rPr>
                <w:rFonts w:ascii="Times New Roman" w:eastAsia="Times New Roman" w:hAnsi="Times New Roman"/>
                <w:color w:val="000000"/>
                <w:sz w:val="18"/>
                <w:lang w:val="en-GB" w:eastAsia="en-GB"/>
              </w:rPr>
              <w:t> </w:t>
            </w:r>
          </w:p>
        </w:tc>
      </w:tr>
      <w:tr w:rsidR="006E6902" w:rsidRPr="006E6902" w14:paraId="2B84B8ED" w14:textId="77777777" w:rsidTr="006E6902">
        <w:trPr>
          <w:trHeight w:val="975"/>
        </w:trPr>
        <w:tc>
          <w:tcPr>
            <w:tcW w:w="202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665CDD2" w14:textId="77777777" w:rsidR="006E6902" w:rsidRPr="006E6902" w:rsidRDefault="006E6902" w:rsidP="006E6902">
            <w:pPr>
              <w:spacing w:after="0" w:line="240" w:lineRule="auto"/>
              <w:rPr>
                <w:rFonts w:ascii="Calibri" w:eastAsia="Times New Roman" w:hAnsi="Calibri" w:cs="Calibri"/>
                <w:color w:val="000000"/>
                <w:sz w:val="18"/>
                <w:lang w:val="en-GB" w:eastAsia="en-GB"/>
              </w:rPr>
            </w:pPr>
            <w:r w:rsidRPr="006E6902">
              <w:rPr>
                <w:rFonts w:ascii="Calibri" w:eastAsia="Times New Roman" w:hAnsi="Calibri" w:cs="Calibri"/>
                <w:color w:val="000000"/>
                <w:sz w:val="18"/>
                <w:lang w:eastAsia="en-GB"/>
              </w:rPr>
              <w:t>6 Monthly assessment of suitability of products and funds, including performance</w:t>
            </w:r>
          </w:p>
        </w:tc>
        <w:tc>
          <w:tcPr>
            <w:tcW w:w="1600" w:type="dxa"/>
            <w:tcBorders>
              <w:top w:val="single" w:sz="8" w:space="0" w:color="000000"/>
              <w:left w:val="single" w:sz="8" w:space="0" w:color="000000"/>
              <w:bottom w:val="single" w:sz="8" w:space="0" w:color="000000"/>
              <w:right w:val="single" w:sz="8" w:space="0" w:color="000000"/>
            </w:tcBorders>
            <w:shd w:val="clear" w:color="000000" w:fill="F2DBDB"/>
            <w:noWrap/>
            <w:vAlign w:val="center"/>
            <w:hideMark/>
          </w:tcPr>
          <w:p w14:paraId="4A95D611" w14:textId="77777777" w:rsidR="006E6902" w:rsidRPr="006E6902" w:rsidRDefault="006E6902" w:rsidP="006E6902">
            <w:pPr>
              <w:spacing w:after="0" w:line="240" w:lineRule="auto"/>
              <w:jc w:val="center"/>
              <w:rPr>
                <w:rFonts w:ascii="Calibri" w:eastAsia="Times New Roman" w:hAnsi="Calibri" w:cs="Calibri"/>
                <w:color w:val="000000"/>
                <w:sz w:val="18"/>
                <w:lang w:val="en-GB" w:eastAsia="en-GB"/>
              </w:rPr>
            </w:pPr>
            <w:r w:rsidRPr="006E6902">
              <w:rPr>
                <w:rFonts w:ascii="Calibri" w:eastAsia="Times New Roman" w:hAnsi="Calibri" w:cs="Calibri"/>
                <w:color w:val="000000"/>
                <w:sz w:val="18"/>
                <w:lang w:val="en-GB" w:eastAsia="en-GB"/>
              </w:rPr>
              <w:t> </w:t>
            </w:r>
          </w:p>
        </w:tc>
        <w:tc>
          <w:tcPr>
            <w:tcW w:w="2020" w:type="dxa"/>
            <w:tcBorders>
              <w:top w:val="single" w:sz="8" w:space="0" w:color="000000"/>
              <w:left w:val="single" w:sz="8" w:space="0" w:color="000000"/>
              <w:bottom w:val="single" w:sz="8" w:space="0" w:color="000000"/>
              <w:right w:val="single" w:sz="8" w:space="0" w:color="000000"/>
            </w:tcBorders>
            <w:shd w:val="clear" w:color="000000" w:fill="FBD4B4"/>
            <w:noWrap/>
            <w:vAlign w:val="center"/>
            <w:hideMark/>
          </w:tcPr>
          <w:p w14:paraId="71422FC7" w14:textId="77777777" w:rsidR="006E6902" w:rsidRPr="006E6902" w:rsidRDefault="006E6902" w:rsidP="006E6902">
            <w:pPr>
              <w:spacing w:after="0" w:line="240" w:lineRule="auto"/>
              <w:jc w:val="center"/>
              <w:rPr>
                <w:rFonts w:ascii="Calibri" w:eastAsia="Times New Roman" w:hAnsi="Calibri" w:cs="Calibri"/>
                <w:color w:val="000000"/>
                <w:sz w:val="18"/>
                <w:lang w:val="en-GB" w:eastAsia="en-GB"/>
              </w:rPr>
            </w:pPr>
            <w:r w:rsidRPr="006E6902">
              <w:rPr>
                <w:rFonts w:ascii="Calibri" w:eastAsia="Times New Roman" w:hAnsi="Calibri" w:cs="Calibri"/>
                <w:color w:val="000000"/>
                <w:sz w:val="18"/>
                <w:lang w:val="en-GB" w:eastAsia="en-GB"/>
              </w:rPr>
              <w:t> </w:t>
            </w:r>
          </w:p>
        </w:tc>
        <w:tc>
          <w:tcPr>
            <w:tcW w:w="2280" w:type="dxa"/>
            <w:tcBorders>
              <w:top w:val="single" w:sz="8" w:space="0" w:color="000000"/>
              <w:left w:val="single" w:sz="8" w:space="0" w:color="000000"/>
              <w:bottom w:val="single" w:sz="8" w:space="0" w:color="000000"/>
              <w:right w:val="single" w:sz="8" w:space="0" w:color="000000"/>
            </w:tcBorders>
            <w:shd w:val="clear" w:color="000000" w:fill="DBE3BC"/>
            <w:noWrap/>
            <w:vAlign w:val="center"/>
            <w:hideMark/>
          </w:tcPr>
          <w:p w14:paraId="132FCAD3" w14:textId="77777777" w:rsidR="006E6902" w:rsidRPr="006E6902" w:rsidRDefault="006E6902" w:rsidP="006E6902">
            <w:pPr>
              <w:spacing w:after="0" w:line="240" w:lineRule="auto"/>
              <w:jc w:val="center"/>
              <w:rPr>
                <w:rFonts w:ascii="Times New Roman" w:eastAsia="Times New Roman" w:hAnsi="Times New Roman"/>
                <w:color w:val="000000"/>
                <w:sz w:val="18"/>
                <w:lang w:val="en-GB" w:eastAsia="en-GB"/>
              </w:rPr>
            </w:pPr>
            <w:r w:rsidRPr="006E6902">
              <w:rPr>
                <w:rFonts w:ascii="Times New Roman" w:eastAsia="Times New Roman" w:hAnsi="Times New Roman"/>
                <w:color w:val="000000"/>
                <w:sz w:val="18"/>
                <w:lang w:val="en-GB" w:eastAsia="en-GB"/>
              </w:rPr>
              <w:t>•</w:t>
            </w:r>
          </w:p>
        </w:tc>
      </w:tr>
      <w:tr w:rsidR="006E6902" w:rsidRPr="006E6902" w14:paraId="047DAD92" w14:textId="77777777" w:rsidTr="006E6902">
        <w:trPr>
          <w:trHeight w:val="495"/>
        </w:trPr>
        <w:tc>
          <w:tcPr>
            <w:tcW w:w="202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DB71F63" w14:textId="77777777" w:rsidR="006E6902" w:rsidRPr="006E6902" w:rsidRDefault="006E6902" w:rsidP="006E6902">
            <w:pPr>
              <w:spacing w:after="0" w:line="240" w:lineRule="auto"/>
              <w:rPr>
                <w:rFonts w:ascii="Calibri" w:eastAsia="Times New Roman" w:hAnsi="Calibri" w:cs="Calibri"/>
                <w:color w:val="000000"/>
                <w:sz w:val="18"/>
                <w:lang w:val="en-GB" w:eastAsia="en-GB"/>
              </w:rPr>
            </w:pPr>
            <w:r w:rsidRPr="006E6902">
              <w:rPr>
                <w:rFonts w:ascii="Calibri" w:eastAsia="Times New Roman" w:hAnsi="Calibri" w:cs="Calibri"/>
                <w:color w:val="000000"/>
                <w:sz w:val="18"/>
                <w:lang w:eastAsia="en-GB"/>
              </w:rPr>
              <w:t>Overview of costs incurred during year</w:t>
            </w:r>
          </w:p>
        </w:tc>
        <w:tc>
          <w:tcPr>
            <w:tcW w:w="1600" w:type="dxa"/>
            <w:tcBorders>
              <w:top w:val="single" w:sz="8" w:space="0" w:color="000000"/>
              <w:left w:val="single" w:sz="8" w:space="0" w:color="000000"/>
              <w:bottom w:val="single" w:sz="8" w:space="0" w:color="000000"/>
              <w:right w:val="single" w:sz="8" w:space="0" w:color="000000"/>
            </w:tcBorders>
            <w:shd w:val="clear" w:color="000000" w:fill="F2DBDB"/>
            <w:noWrap/>
            <w:vAlign w:val="center"/>
            <w:hideMark/>
          </w:tcPr>
          <w:p w14:paraId="153BD0CA" w14:textId="77777777" w:rsidR="006E6902" w:rsidRPr="006E6902" w:rsidRDefault="006E6902" w:rsidP="006E6902">
            <w:pPr>
              <w:spacing w:after="0" w:line="240" w:lineRule="auto"/>
              <w:jc w:val="center"/>
              <w:rPr>
                <w:rFonts w:ascii="Calibri" w:eastAsia="Times New Roman" w:hAnsi="Calibri" w:cs="Calibri"/>
                <w:color w:val="000000"/>
                <w:sz w:val="18"/>
                <w:lang w:val="en-GB" w:eastAsia="en-GB"/>
              </w:rPr>
            </w:pPr>
            <w:r w:rsidRPr="006E6902">
              <w:rPr>
                <w:rFonts w:ascii="Calibri" w:eastAsia="Times New Roman" w:hAnsi="Calibri" w:cs="Calibri"/>
                <w:color w:val="000000"/>
                <w:sz w:val="18"/>
                <w:lang w:val="en-GB" w:eastAsia="en-GB"/>
              </w:rPr>
              <w:t> </w:t>
            </w:r>
          </w:p>
        </w:tc>
        <w:tc>
          <w:tcPr>
            <w:tcW w:w="2020" w:type="dxa"/>
            <w:tcBorders>
              <w:top w:val="single" w:sz="8" w:space="0" w:color="000000"/>
              <w:left w:val="single" w:sz="8" w:space="0" w:color="000000"/>
              <w:bottom w:val="single" w:sz="8" w:space="0" w:color="000000"/>
              <w:right w:val="single" w:sz="8" w:space="0" w:color="000000"/>
            </w:tcBorders>
            <w:shd w:val="clear" w:color="000000" w:fill="FBD4B4"/>
            <w:noWrap/>
            <w:vAlign w:val="center"/>
            <w:hideMark/>
          </w:tcPr>
          <w:p w14:paraId="32C59539" w14:textId="77777777" w:rsidR="006E6902" w:rsidRPr="006E6902" w:rsidRDefault="006E6902" w:rsidP="006E6902">
            <w:pPr>
              <w:spacing w:after="0" w:line="240" w:lineRule="auto"/>
              <w:jc w:val="center"/>
              <w:rPr>
                <w:rFonts w:ascii="Times New Roman" w:eastAsia="Times New Roman" w:hAnsi="Times New Roman"/>
                <w:color w:val="000000"/>
                <w:sz w:val="18"/>
                <w:lang w:val="en-GB" w:eastAsia="en-GB"/>
              </w:rPr>
            </w:pPr>
            <w:r w:rsidRPr="006E6902">
              <w:rPr>
                <w:rFonts w:ascii="Times New Roman" w:eastAsia="Times New Roman" w:hAnsi="Times New Roman"/>
                <w:color w:val="000000"/>
                <w:sz w:val="18"/>
                <w:lang w:val="en-GB" w:eastAsia="en-GB"/>
              </w:rPr>
              <w:t>•</w:t>
            </w:r>
          </w:p>
        </w:tc>
        <w:tc>
          <w:tcPr>
            <w:tcW w:w="2280" w:type="dxa"/>
            <w:tcBorders>
              <w:top w:val="single" w:sz="8" w:space="0" w:color="000000"/>
              <w:left w:val="single" w:sz="8" w:space="0" w:color="000000"/>
              <w:bottom w:val="single" w:sz="8" w:space="0" w:color="000000"/>
              <w:right w:val="single" w:sz="8" w:space="0" w:color="000000"/>
            </w:tcBorders>
            <w:shd w:val="clear" w:color="000000" w:fill="DBE3BC"/>
            <w:noWrap/>
            <w:vAlign w:val="center"/>
            <w:hideMark/>
          </w:tcPr>
          <w:p w14:paraId="60FA7C41" w14:textId="77777777" w:rsidR="006E6902" w:rsidRPr="006E6902" w:rsidRDefault="006E6902" w:rsidP="006E6902">
            <w:pPr>
              <w:spacing w:after="0" w:line="240" w:lineRule="auto"/>
              <w:jc w:val="center"/>
              <w:rPr>
                <w:rFonts w:ascii="Times New Roman" w:eastAsia="Times New Roman" w:hAnsi="Times New Roman"/>
                <w:color w:val="000000"/>
                <w:sz w:val="18"/>
                <w:lang w:val="en-GB" w:eastAsia="en-GB"/>
              </w:rPr>
            </w:pPr>
            <w:r w:rsidRPr="006E6902">
              <w:rPr>
                <w:rFonts w:ascii="Times New Roman" w:eastAsia="Times New Roman" w:hAnsi="Times New Roman"/>
                <w:color w:val="000000"/>
                <w:sz w:val="18"/>
                <w:lang w:val="en-GB" w:eastAsia="en-GB"/>
              </w:rPr>
              <w:t>•</w:t>
            </w:r>
          </w:p>
        </w:tc>
      </w:tr>
      <w:tr w:rsidR="006E6902" w:rsidRPr="006E6902" w14:paraId="047D9FB7" w14:textId="77777777" w:rsidTr="006E6902">
        <w:trPr>
          <w:trHeight w:val="735"/>
        </w:trPr>
        <w:tc>
          <w:tcPr>
            <w:tcW w:w="202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478795A" w14:textId="77777777" w:rsidR="006E6902" w:rsidRPr="006E6902" w:rsidRDefault="006E6902" w:rsidP="006E6902">
            <w:pPr>
              <w:spacing w:after="0" w:line="240" w:lineRule="auto"/>
              <w:rPr>
                <w:rFonts w:ascii="Calibri" w:eastAsia="Times New Roman" w:hAnsi="Calibri" w:cs="Calibri"/>
                <w:color w:val="000000"/>
                <w:sz w:val="18"/>
                <w:lang w:val="en-GB" w:eastAsia="en-GB"/>
              </w:rPr>
            </w:pPr>
            <w:r w:rsidRPr="006E6902">
              <w:rPr>
                <w:rFonts w:ascii="Calibri" w:eastAsia="Times New Roman" w:hAnsi="Calibri" w:cs="Calibri"/>
                <w:color w:val="000000"/>
                <w:sz w:val="18"/>
                <w:lang w:eastAsia="en-GB"/>
              </w:rPr>
              <w:t>Overview of cost projection for next 12 months</w:t>
            </w:r>
          </w:p>
        </w:tc>
        <w:tc>
          <w:tcPr>
            <w:tcW w:w="1600" w:type="dxa"/>
            <w:tcBorders>
              <w:top w:val="single" w:sz="8" w:space="0" w:color="000000"/>
              <w:left w:val="single" w:sz="8" w:space="0" w:color="000000"/>
              <w:bottom w:val="single" w:sz="8" w:space="0" w:color="000000"/>
              <w:right w:val="single" w:sz="8" w:space="0" w:color="000000"/>
            </w:tcBorders>
            <w:shd w:val="clear" w:color="000000" w:fill="F2DBDB"/>
            <w:noWrap/>
            <w:vAlign w:val="center"/>
            <w:hideMark/>
          </w:tcPr>
          <w:p w14:paraId="7CD45E30" w14:textId="77777777" w:rsidR="006E6902" w:rsidRPr="006E6902" w:rsidRDefault="006E6902" w:rsidP="006E6902">
            <w:pPr>
              <w:spacing w:after="0" w:line="240" w:lineRule="auto"/>
              <w:jc w:val="center"/>
              <w:rPr>
                <w:rFonts w:ascii="Calibri" w:eastAsia="Times New Roman" w:hAnsi="Calibri" w:cs="Calibri"/>
                <w:color w:val="000000"/>
                <w:sz w:val="18"/>
                <w:lang w:val="en-GB" w:eastAsia="en-GB"/>
              </w:rPr>
            </w:pPr>
            <w:r w:rsidRPr="006E6902">
              <w:rPr>
                <w:rFonts w:ascii="Calibri" w:eastAsia="Times New Roman" w:hAnsi="Calibri" w:cs="Calibri"/>
                <w:color w:val="000000"/>
                <w:sz w:val="18"/>
                <w:lang w:val="en-GB" w:eastAsia="en-GB"/>
              </w:rPr>
              <w:t> </w:t>
            </w:r>
          </w:p>
        </w:tc>
        <w:tc>
          <w:tcPr>
            <w:tcW w:w="2020" w:type="dxa"/>
            <w:tcBorders>
              <w:top w:val="single" w:sz="8" w:space="0" w:color="000000"/>
              <w:left w:val="single" w:sz="8" w:space="0" w:color="000000"/>
              <w:bottom w:val="single" w:sz="8" w:space="0" w:color="000000"/>
              <w:right w:val="single" w:sz="8" w:space="0" w:color="000000"/>
            </w:tcBorders>
            <w:shd w:val="clear" w:color="000000" w:fill="FBD4B4"/>
            <w:noWrap/>
            <w:vAlign w:val="center"/>
            <w:hideMark/>
          </w:tcPr>
          <w:p w14:paraId="7A2E583C" w14:textId="77777777" w:rsidR="006E6902" w:rsidRPr="006E6902" w:rsidRDefault="006E6902" w:rsidP="006E6902">
            <w:pPr>
              <w:spacing w:after="0" w:line="240" w:lineRule="auto"/>
              <w:jc w:val="center"/>
              <w:rPr>
                <w:rFonts w:ascii="Times New Roman" w:eastAsia="Times New Roman" w:hAnsi="Times New Roman"/>
                <w:color w:val="000000"/>
                <w:sz w:val="18"/>
                <w:lang w:val="en-GB" w:eastAsia="en-GB"/>
              </w:rPr>
            </w:pPr>
            <w:r w:rsidRPr="006E6902">
              <w:rPr>
                <w:rFonts w:ascii="Times New Roman" w:eastAsia="Times New Roman" w:hAnsi="Times New Roman"/>
                <w:color w:val="000000"/>
                <w:sz w:val="18"/>
                <w:lang w:val="en-GB" w:eastAsia="en-GB"/>
              </w:rPr>
              <w:t>•</w:t>
            </w:r>
          </w:p>
        </w:tc>
        <w:tc>
          <w:tcPr>
            <w:tcW w:w="2280" w:type="dxa"/>
            <w:tcBorders>
              <w:top w:val="single" w:sz="8" w:space="0" w:color="000000"/>
              <w:left w:val="single" w:sz="8" w:space="0" w:color="000000"/>
              <w:bottom w:val="single" w:sz="8" w:space="0" w:color="000000"/>
              <w:right w:val="single" w:sz="8" w:space="0" w:color="000000"/>
            </w:tcBorders>
            <w:shd w:val="clear" w:color="000000" w:fill="DBE3BC"/>
            <w:noWrap/>
            <w:vAlign w:val="center"/>
            <w:hideMark/>
          </w:tcPr>
          <w:p w14:paraId="5EFBFF4A" w14:textId="77777777" w:rsidR="006E6902" w:rsidRPr="006E6902" w:rsidRDefault="006E6902" w:rsidP="006E6902">
            <w:pPr>
              <w:spacing w:after="0" w:line="240" w:lineRule="auto"/>
              <w:jc w:val="center"/>
              <w:rPr>
                <w:rFonts w:ascii="Times New Roman" w:eastAsia="Times New Roman" w:hAnsi="Times New Roman"/>
                <w:color w:val="000000"/>
                <w:sz w:val="18"/>
                <w:lang w:val="en-GB" w:eastAsia="en-GB"/>
              </w:rPr>
            </w:pPr>
            <w:r w:rsidRPr="006E6902">
              <w:rPr>
                <w:rFonts w:ascii="Times New Roman" w:eastAsia="Times New Roman" w:hAnsi="Times New Roman"/>
                <w:color w:val="000000"/>
                <w:sz w:val="18"/>
                <w:lang w:val="en-GB" w:eastAsia="en-GB"/>
              </w:rPr>
              <w:t>•</w:t>
            </w:r>
          </w:p>
        </w:tc>
      </w:tr>
      <w:tr w:rsidR="006E6902" w:rsidRPr="006E6902" w14:paraId="5EC1644E" w14:textId="77777777" w:rsidTr="006E6902">
        <w:trPr>
          <w:trHeight w:val="960"/>
        </w:trPr>
        <w:tc>
          <w:tcPr>
            <w:tcW w:w="202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264DD2F" w14:textId="77777777" w:rsidR="006E6902" w:rsidRPr="006E6902" w:rsidRDefault="006E6902" w:rsidP="006E6902">
            <w:pPr>
              <w:spacing w:after="0" w:line="240" w:lineRule="auto"/>
              <w:rPr>
                <w:rFonts w:ascii="Calibri" w:eastAsia="Times New Roman" w:hAnsi="Calibri" w:cs="Calibri"/>
                <w:color w:val="000000"/>
                <w:sz w:val="18"/>
                <w:lang w:val="en-GB" w:eastAsia="en-GB"/>
              </w:rPr>
            </w:pPr>
            <w:proofErr w:type="spellStart"/>
            <w:r w:rsidRPr="006E6902">
              <w:rPr>
                <w:rFonts w:ascii="Calibri" w:eastAsia="Times New Roman" w:hAnsi="Calibri" w:cs="Calibri"/>
                <w:color w:val="000000"/>
                <w:sz w:val="18"/>
                <w:lang w:eastAsia="en-GB"/>
              </w:rPr>
              <w:t>Quarterley</w:t>
            </w:r>
            <w:proofErr w:type="spellEnd"/>
            <w:r w:rsidRPr="006E6902">
              <w:rPr>
                <w:rFonts w:ascii="Calibri" w:eastAsia="Times New Roman" w:hAnsi="Calibri" w:cs="Calibri"/>
                <w:color w:val="000000"/>
                <w:sz w:val="18"/>
                <w:lang w:eastAsia="en-GB"/>
              </w:rPr>
              <w:t xml:space="preserve"> Newsletters and Investment Bulletins</w:t>
            </w:r>
          </w:p>
        </w:tc>
        <w:tc>
          <w:tcPr>
            <w:tcW w:w="1600" w:type="dxa"/>
            <w:tcBorders>
              <w:top w:val="single" w:sz="8" w:space="0" w:color="000000"/>
              <w:left w:val="single" w:sz="8" w:space="0" w:color="000000"/>
              <w:bottom w:val="single" w:sz="8" w:space="0" w:color="000000"/>
              <w:right w:val="single" w:sz="8" w:space="0" w:color="000000"/>
            </w:tcBorders>
            <w:shd w:val="clear" w:color="000000" w:fill="F2DBDB"/>
            <w:noWrap/>
            <w:vAlign w:val="center"/>
            <w:hideMark/>
          </w:tcPr>
          <w:p w14:paraId="52864CA2" w14:textId="77777777" w:rsidR="006E6902" w:rsidRPr="006E6902" w:rsidRDefault="006E6902" w:rsidP="006E6902">
            <w:pPr>
              <w:spacing w:after="0" w:line="240" w:lineRule="auto"/>
              <w:jc w:val="center"/>
              <w:rPr>
                <w:rFonts w:ascii="Times New Roman" w:eastAsia="Times New Roman" w:hAnsi="Times New Roman"/>
                <w:color w:val="000000"/>
                <w:sz w:val="18"/>
                <w:lang w:val="en-GB" w:eastAsia="en-GB"/>
              </w:rPr>
            </w:pPr>
            <w:r w:rsidRPr="006E6902">
              <w:rPr>
                <w:rFonts w:ascii="Times New Roman" w:eastAsia="Times New Roman" w:hAnsi="Times New Roman"/>
                <w:color w:val="000000"/>
                <w:sz w:val="18"/>
                <w:lang w:val="en-GB" w:eastAsia="en-GB"/>
              </w:rPr>
              <w:t>•</w:t>
            </w:r>
          </w:p>
        </w:tc>
        <w:tc>
          <w:tcPr>
            <w:tcW w:w="2020" w:type="dxa"/>
            <w:tcBorders>
              <w:top w:val="single" w:sz="8" w:space="0" w:color="000000"/>
              <w:left w:val="single" w:sz="8" w:space="0" w:color="000000"/>
              <w:bottom w:val="single" w:sz="8" w:space="0" w:color="000000"/>
              <w:right w:val="single" w:sz="8" w:space="0" w:color="000000"/>
            </w:tcBorders>
            <w:shd w:val="clear" w:color="000000" w:fill="FBD4B4"/>
            <w:noWrap/>
            <w:vAlign w:val="center"/>
            <w:hideMark/>
          </w:tcPr>
          <w:p w14:paraId="0536C6A9" w14:textId="77777777" w:rsidR="006E6902" w:rsidRPr="006E6902" w:rsidRDefault="006E6902" w:rsidP="006E6902">
            <w:pPr>
              <w:spacing w:after="0" w:line="240" w:lineRule="auto"/>
              <w:jc w:val="center"/>
              <w:rPr>
                <w:rFonts w:ascii="Times New Roman" w:eastAsia="Times New Roman" w:hAnsi="Times New Roman"/>
                <w:color w:val="000000"/>
                <w:sz w:val="18"/>
                <w:lang w:val="en-GB" w:eastAsia="en-GB"/>
              </w:rPr>
            </w:pPr>
            <w:r w:rsidRPr="006E6902">
              <w:rPr>
                <w:rFonts w:ascii="Times New Roman" w:eastAsia="Times New Roman" w:hAnsi="Times New Roman"/>
                <w:color w:val="000000"/>
                <w:sz w:val="18"/>
                <w:lang w:val="en-GB" w:eastAsia="en-GB"/>
              </w:rPr>
              <w:t>•</w:t>
            </w:r>
          </w:p>
        </w:tc>
        <w:tc>
          <w:tcPr>
            <w:tcW w:w="2280" w:type="dxa"/>
            <w:tcBorders>
              <w:top w:val="single" w:sz="8" w:space="0" w:color="000000"/>
              <w:left w:val="single" w:sz="8" w:space="0" w:color="000000"/>
              <w:bottom w:val="single" w:sz="8" w:space="0" w:color="000000"/>
              <w:right w:val="single" w:sz="8" w:space="0" w:color="000000"/>
            </w:tcBorders>
            <w:shd w:val="clear" w:color="000000" w:fill="DBE3BC"/>
            <w:noWrap/>
            <w:vAlign w:val="center"/>
            <w:hideMark/>
          </w:tcPr>
          <w:p w14:paraId="216FF2C6" w14:textId="77777777" w:rsidR="006E6902" w:rsidRPr="006E6902" w:rsidRDefault="006E6902" w:rsidP="006E6902">
            <w:pPr>
              <w:spacing w:after="0" w:line="240" w:lineRule="auto"/>
              <w:jc w:val="center"/>
              <w:rPr>
                <w:rFonts w:ascii="Times New Roman" w:eastAsia="Times New Roman" w:hAnsi="Times New Roman"/>
                <w:color w:val="000000"/>
                <w:sz w:val="18"/>
                <w:lang w:val="en-GB" w:eastAsia="en-GB"/>
              </w:rPr>
            </w:pPr>
            <w:r w:rsidRPr="006E6902">
              <w:rPr>
                <w:rFonts w:ascii="Times New Roman" w:eastAsia="Times New Roman" w:hAnsi="Times New Roman"/>
                <w:color w:val="000000"/>
                <w:sz w:val="18"/>
                <w:lang w:val="en-GB" w:eastAsia="en-GB"/>
              </w:rPr>
              <w:t>•</w:t>
            </w:r>
          </w:p>
        </w:tc>
      </w:tr>
      <w:tr w:rsidR="006E6902" w:rsidRPr="006E6902" w14:paraId="5C4D1DB2" w14:textId="77777777" w:rsidTr="006E6902">
        <w:trPr>
          <w:trHeight w:val="2205"/>
        </w:trPr>
        <w:tc>
          <w:tcPr>
            <w:tcW w:w="202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C31DE07" w14:textId="77777777" w:rsidR="006E6902" w:rsidRPr="006E6902" w:rsidRDefault="006E6902" w:rsidP="006E6902">
            <w:pPr>
              <w:spacing w:after="0" w:line="240" w:lineRule="auto"/>
              <w:rPr>
                <w:rFonts w:ascii="Calibri" w:eastAsia="Times New Roman" w:hAnsi="Calibri" w:cs="Calibri"/>
                <w:color w:val="000000"/>
                <w:sz w:val="18"/>
                <w:lang w:val="en-GB" w:eastAsia="en-GB"/>
              </w:rPr>
            </w:pPr>
            <w:r w:rsidRPr="006E6902">
              <w:rPr>
                <w:rFonts w:ascii="Calibri" w:eastAsia="Times New Roman" w:hAnsi="Calibri" w:cs="Calibri"/>
                <w:color w:val="000000"/>
                <w:sz w:val="18"/>
                <w:lang w:val="en-GB" w:eastAsia="en-GB"/>
              </w:rPr>
              <w:t xml:space="preserve">Document Records Management (Copy statements and paperwork scanned, </w:t>
            </w:r>
            <w:proofErr w:type="gramStart"/>
            <w:r w:rsidRPr="006E6902">
              <w:rPr>
                <w:rFonts w:ascii="Calibri" w:eastAsia="Times New Roman" w:hAnsi="Calibri" w:cs="Calibri"/>
                <w:color w:val="000000"/>
                <w:sz w:val="18"/>
                <w:lang w:val="en-GB" w:eastAsia="en-GB"/>
              </w:rPr>
              <w:t>recorded</w:t>
            </w:r>
            <w:proofErr w:type="gramEnd"/>
            <w:r w:rsidRPr="006E6902">
              <w:rPr>
                <w:rFonts w:ascii="Calibri" w:eastAsia="Times New Roman" w:hAnsi="Calibri" w:cs="Calibri"/>
                <w:color w:val="000000"/>
                <w:sz w:val="18"/>
                <w:lang w:val="en-GB" w:eastAsia="en-GB"/>
              </w:rPr>
              <w:t xml:space="preserve"> and actioned if required) Documents can be requested and forwarded onto you if required)</w:t>
            </w:r>
          </w:p>
        </w:tc>
        <w:tc>
          <w:tcPr>
            <w:tcW w:w="1600" w:type="dxa"/>
            <w:tcBorders>
              <w:top w:val="single" w:sz="8" w:space="0" w:color="000000"/>
              <w:left w:val="single" w:sz="8" w:space="0" w:color="000000"/>
              <w:bottom w:val="single" w:sz="8" w:space="0" w:color="000000"/>
              <w:right w:val="single" w:sz="8" w:space="0" w:color="000000"/>
            </w:tcBorders>
            <w:shd w:val="clear" w:color="000000" w:fill="F2DBDB"/>
            <w:noWrap/>
            <w:vAlign w:val="center"/>
            <w:hideMark/>
          </w:tcPr>
          <w:p w14:paraId="601F7647" w14:textId="77777777" w:rsidR="006E6902" w:rsidRPr="006E6902" w:rsidRDefault="006E6902" w:rsidP="006E6902">
            <w:pPr>
              <w:spacing w:after="0" w:line="240" w:lineRule="auto"/>
              <w:jc w:val="center"/>
              <w:rPr>
                <w:rFonts w:ascii="Times New Roman" w:eastAsia="Times New Roman" w:hAnsi="Times New Roman"/>
                <w:color w:val="000000"/>
                <w:sz w:val="18"/>
                <w:lang w:val="en-GB" w:eastAsia="en-GB"/>
              </w:rPr>
            </w:pPr>
            <w:r w:rsidRPr="006E6902">
              <w:rPr>
                <w:rFonts w:ascii="Times New Roman" w:eastAsia="Times New Roman" w:hAnsi="Times New Roman"/>
                <w:color w:val="000000"/>
                <w:sz w:val="18"/>
                <w:lang w:val="en-GB" w:eastAsia="en-GB"/>
              </w:rPr>
              <w:t>•</w:t>
            </w:r>
          </w:p>
        </w:tc>
        <w:tc>
          <w:tcPr>
            <w:tcW w:w="2020" w:type="dxa"/>
            <w:tcBorders>
              <w:top w:val="single" w:sz="8" w:space="0" w:color="000000"/>
              <w:left w:val="single" w:sz="8" w:space="0" w:color="000000"/>
              <w:bottom w:val="single" w:sz="8" w:space="0" w:color="000000"/>
              <w:right w:val="single" w:sz="8" w:space="0" w:color="000000"/>
            </w:tcBorders>
            <w:shd w:val="clear" w:color="000000" w:fill="FBD4B4"/>
            <w:noWrap/>
            <w:vAlign w:val="center"/>
            <w:hideMark/>
          </w:tcPr>
          <w:p w14:paraId="3209636D" w14:textId="77777777" w:rsidR="006E6902" w:rsidRPr="006E6902" w:rsidRDefault="006E6902" w:rsidP="006E6902">
            <w:pPr>
              <w:spacing w:after="0" w:line="240" w:lineRule="auto"/>
              <w:jc w:val="center"/>
              <w:rPr>
                <w:rFonts w:ascii="Times New Roman" w:eastAsia="Times New Roman" w:hAnsi="Times New Roman"/>
                <w:color w:val="000000"/>
                <w:sz w:val="18"/>
                <w:lang w:val="en-GB" w:eastAsia="en-GB"/>
              </w:rPr>
            </w:pPr>
            <w:r w:rsidRPr="006E6902">
              <w:rPr>
                <w:rFonts w:ascii="Times New Roman" w:eastAsia="Times New Roman" w:hAnsi="Times New Roman"/>
                <w:color w:val="000000"/>
                <w:sz w:val="18"/>
                <w:lang w:val="en-GB" w:eastAsia="en-GB"/>
              </w:rPr>
              <w:t>•</w:t>
            </w:r>
          </w:p>
        </w:tc>
        <w:tc>
          <w:tcPr>
            <w:tcW w:w="2280" w:type="dxa"/>
            <w:tcBorders>
              <w:top w:val="single" w:sz="8" w:space="0" w:color="000000"/>
              <w:left w:val="single" w:sz="8" w:space="0" w:color="000000"/>
              <w:bottom w:val="single" w:sz="8" w:space="0" w:color="000000"/>
              <w:right w:val="single" w:sz="8" w:space="0" w:color="000000"/>
            </w:tcBorders>
            <w:shd w:val="clear" w:color="000000" w:fill="DBE3BC"/>
            <w:noWrap/>
            <w:vAlign w:val="center"/>
            <w:hideMark/>
          </w:tcPr>
          <w:p w14:paraId="2D381A13" w14:textId="77777777" w:rsidR="006E6902" w:rsidRPr="006E6902" w:rsidRDefault="006E6902" w:rsidP="006E6902">
            <w:pPr>
              <w:spacing w:after="0" w:line="240" w:lineRule="auto"/>
              <w:jc w:val="center"/>
              <w:rPr>
                <w:rFonts w:ascii="Times New Roman" w:eastAsia="Times New Roman" w:hAnsi="Times New Roman"/>
                <w:color w:val="000000"/>
                <w:sz w:val="18"/>
                <w:lang w:val="en-GB" w:eastAsia="en-GB"/>
              </w:rPr>
            </w:pPr>
            <w:r w:rsidRPr="006E6902">
              <w:rPr>
                <w:rFonts w:ascii="Times New Roman" w:eastAsia="Times New Roman" w:hAnsi="Times New Roman"/>
                <w:color w:val="000000"/>
                <w:sz w:val="18"/>
                <w:lang w:val="en-GB" w:eastAsia="en-GB"/>
              </w:rPr>
              <w:t>•</w:t>
            </w:r>
          </w:p>
        </w:tc>
      </w:tr>
    </w:tbl>
    <w:p w14:paraId="2A4D7048" w14:textId="7C857E09" w:rsidR="006E6902" w:rsidRDefault="006E6902" w:rsidP="006E6902">
      <w:pPr>
        <w:spacing w:after="0" w:line="240" w:lineRule="auto"/>
        <w:jc w:val="center"/>
        <w:rPr>
          <w:rFonts w:ascii="Calibri" w:hAnsi="Calibri" w:cs="Arial"/>
          <w:b/>
          <w:bCs/>
          <w:color w:val="000000" w:themeColor="text1"/>
          <w:sz w:val="24"/>
          <w:szCs w:val="24"/>
          <w:u w:val="single"/>
        </w:rPr>
      </w:pPr>
    </w:p>
    <w:p w14:paraId="28410D31" w14:textId="62A3D642" w:rsidR="006E6902" w:rsidRDefault="006E6902" w:rsidP="006E6902">
      <w:pPr>
        <w:spacing w:after="0" w:line="240" w:lineRule="auto"/>
        <w:jc w:val="center"/>
        <w:rPr>
          <w:rFonts w:ascii="Calibri" w:hAnsi="Calibri" w:cs="Arial"/>
          <w:b/>
          <w:bCs/>
          <w:color w:val="000000" w:themeColor="text1"/>
          <w:sz w:val="24"/>
          <w:szCs w:val="24"/>
          <w:u w:val="single"/>
        </w:rPr>
      </w:pPr>
    </w:p>
    <w:p w14:paraId="425F8A6D" w14:textId="664E5961" w:rsidR="006E6902" w:rsidRDefault="006E6902" w:rsidP="006E6902">
      <w:pPr>
        <w:spacing w:after="0" w:line="240" w:lineRule="auto"/>
        <w:jc w:val="center"/>
        <w:rPr>
          <w:rFonts w:ascii="Calibri" w:hAnsi="Calibri" w:cs="Arial"/>
          <w:b/>
          <w:bCs/>
          <w:color w:val="000000" w:themeColor="text1"/>
          <w:sz w:val="24"/>
          <w:szCs w:val="24"/>
          <w:u w:val="single"/>
        </w:rPr>
      </w:pPr>
    </w:p>
    <w:p w14:paraId="66C7B9A6" w14:textId="172A0639" w:rsidR="006E6902" w:rsidRDefault="006E6902" w:rsidP="006E6902">
      <w:pPr>
        <w:spacing w:after="0" w:line="240" w:lineRule="auto"/>
        <w:jc w:val="center"/>
        <w:rPr>
          <w:rFonts w:ascii="Calibri" w:hAnsi="Calibri" w:cs="Arial"/>
          <w:b/>
          <w:bCs/>
          <w:color w:val="000000" w:themeColor="text1"/>
          <w:sz w:val="24"/>
          <w:szCs w:val="24"/>
          <w:u w:val="single"/>
        </w:rPr>
      </w:pPr>
    </w:p>
    <w:p w14:paraId="423D8848" w14:textId="4DA20840" w:rsidR="006E6902" w:rsidRDefault="006E6902" w:rsidP="006E6902">
      <w:pPr>
        <w:spacing w:after="0" w:line="240" w:lineRule="auto"/>
        <w:jc w:val="center"/>
        <w:rPr>
          <w:rFonts w:ascii="Calibri" w:hAnsi="Calibri" w:cs="Arial"/>
          <w:b/>
          <w:bCs/>
          <w:color w:val="000000" w:themeColor="text1"/>
          <w:sz w:val="24"/>
          <w:szCs w:val="24"/>
          <w:u w:val="single"/>
        </w:rPr>
      </w:pPr>
    </w:p>
    <w:p w14:paraId="299AC6F8" w14:textId="77777777" w:rsidR="006E6902" w:rsidRDefault="006E6902" w:rsidP="006E6902">
      <w:pPr>
        <w:spacing w:after="0" w:line="240" w:lineRule="auto"/>
        <w:rPr>
          <w:rFonts w:ascii="Calibri" w:hAnsi="Calibri" w:cs="Arial"/>
          <w:b/>
          <w:bCs/>
          <w:color w:val="000000" w:themeColor="text1"/>
          <w:sz w:val="24"/>
          <w:szCs w:val="24"/>
          <w:u w:val="single"/>
        </w:rPr>
      </w:pPr>
    </w:p>
    <w:p w14:paraId="3CEA1DC9" w14:textId="705C8D04" w:rsidR="006E6902" w:rsidRPr="00A10C01" w:rsidRDefault="006E6902" w:rsidP="006E6902">
      <w:pPr>
        <w:spacing w:after="0" w:line="240" w:lineRule="auto"/>
        <w:jc w:val="center"/>
        <w:rPr>
          <w:rFonts w:ascii="Calibri" w:hAnsi="Calibri" w:cs="Arial"/>
          <w:b/>
          <w:color w:val="2E74B5" w:themeColor="accent1" w:themeShade="BF"/>
          <w:sz w:val="24"/>
          <w:szCs w:val="24"/>
          <w:u w:val="single"/>
        </w:rPr>
      </w:pPr>
      <w:r w:rsidRPr="00A10C01">
        <w:rPr>
          <w:rFonts w:ascii="Calibri" w:hAnsi="Calibri" w:cs="Arial"/>
          <w:b/>
          <w:sz w:val="28"/>
          <w:szCs w:val="28"/>
          <w:u w:val="single"/>
        </w:rPr>
        <w:lastRenderedPageBreak/>
        <w:t>ONGOING SERVICE LEVELS</w:t>
      </w:r>
    </w:p>
    <w:p w14:paraId="301FE810" w14:textId="77777777" w:rsidR="006E6902" w:rsidRDefault="006E6902" w:rsidP="006E6902">
      <w:pPr>
        <w:spacing w:after="0" w:line="240" w:lineRule="auto"/>
        <w:jc w:val="center"/>
        <w:rPr>
          <w:rFonts w:ascii="Calibri" w:hAnsi="Calibri" w:cs="Arial"/>
          <w:b/>
          <w:bCs/>
          <w:color w:val="000000" w:themeColor="text1"/>
          <w:sz w:val="24"/>
          <w:szCs w:val="24"/>
          <w:u w:val="single"/>
        </w:rPr>
      </w:pPr>
    </w:p>
    <w:p w14:paraId="63D95924" w14:textId="243DA108" w:rsidR="006E6902" w:rsidRDefault="006E6902" w:rsidP="006E6902">
      <w:pPr>
        <w:spacing w:after="0" w:line="240" w:lineRule="auto"/>
        <w:jc w:val="center"/>
        <w:rPr>
          <w:rFonts w:ascii="Calibri" w:hAnsi="Calibri" w:cs="Arial"/>
          <w:b/>
          <w:bCs/>
          <w:color w:val="000000" w:themeColor="text1"/>
          <w:sz w:val="24"/>
          <w:szCs w:val="24"/>
          <w:u w:val="single"/>
        </w:rPr>
      </w:pPr>
    </w:p>
    <w:tbl>
      <w:tblPr>
        <w:tblpPr w:leftFromText="180" w:rightFromText="180" w:vertAnchor="text" w:horzAnchor="margin" w:tblpY="175"/>
        <w:tblW w:w="4870" w:type="pct"/>
        <w:tblLook w:val="04A0" w:firstRow="1" w:lastRow="0" w:firstColumn="1" w:lastColumn="0" w:noHBand="0" w:noVBand="1"/>
      </w:tblPr>
      <w:tblGrid>
        <w:gridCol w:w="8791"/>
      </w:tblGrid>
      <w:tr w:rsidR="006E6902" w:rsidRPr="00243816" w14:paraId="5417EB02" w14:textId="77777777" w:rsidTr="006E6902">
        <w:tc>
          <w:tcPr>
            <w:tcW w:w="5000" w:type="pct"/>
            <w:shd w:val="clear" w:color="auto" w:fill="DEEAF6" w:themeFill="accent1" w:themeFillTint="33"/>
          </w:tcPr>
          <w:p w14:paraId="2F59539A" w14:textId="77777777" w:rsidR="006E6902" w:rsidRPr="006560FE" w:rsidRDefault="006E6902" w:rsidP="006E6902">
            <w:pPr>
              <w:spacing w:after="0" w:line="240" w:lineRule="auto"/>
              <w:jc w:val="center"/>
              <w:rPr>
                <w:rFonts w:ascii="Calibri" w:hAnsi="Calibri" w:cs="Arial"/>
                <w:b/>
                <w:color w:val="2E74B5" w:themeColor="accent1" w:themeShade="BF"/>
                <w:sz w:val="24"/>
                <w:szCs w:val="24"/>
                <w:u w:val="single"/>
              </w:rPr>
            </w:pPr>
            <w:r>
              <w:rPr>
                <w:rFonts w:ascii="Calibri" w:hAnsi="Calibri" w:cs="Arial"/>
                <w:b/>
                <w:color w:val="2E74B5" w:themeColor="accent1" w:themeShade="BF"/>
                <w:sz w:val="24"/>
                <w:szCs w:val="24"/>
                <w:u w:val="single"/>
              </w:rPr>
              <w:t>Transactional Service</w:t>
            </w:r>
          </w:p>
          <w:p w14:paraId="10E8F551" w14:textId="77777777" w:rsidR="006E6902" w:rsidRPr="00A10C01" w:rsidRDefault="006E6902" w:rsidP="006E6902">
            <w:pPr>
              <w:spacing w:after="0" w:line="240" w:lineRule="auto"/>
              <w:ind w:left="34"/>
              <w:rPr>
                <w:rFonts w:ascii="Calibri" w:hAnsi="Calibri" w:cs="Arial"/>
                <w:b/>
                <w:color w:val="2E74B5" w:themeColor="accent1" w:themeShade="BF"/>
                <w:sz w:val="24"/>
                <w:szCs w:val="24"/>
                <w:u w:val="single"/>
              </w:rPr>
            </w:pPr>
            <w:r w:rsidRPr="006560FE">
              <w:rPr>
                <w:rFonts w:ascii="Calibri" w:hAnsi="Calibri" w:cs="Arial"/>
                <w:color w:val="595959" w:themeColor="text1" w:themeTint="A6"/>
                <w:sz w:val="22"/>
                <w:szCs w:val="22"/>
              </w:rPr>
              <w:t xml:space="preserve">You will not be enrolled onto an ongoing service plan. You will instead have to pay for ongoing advice as and when required. Your adviser will not be monitoring the ongoing suitability of advice and will not monitor the performance of the funds. Your adviser will forward all statements from providers so that you can review the performance yourself. </w:t>
            </w:r>
          </w:p>
        </w:tc>
      </w:tr>
      <w:tr w:rsidR="006E6902" w:rsidRPr="00243816" w14:paraId="676F165D" w14:textId="77777777" w:rsidTr="006E6902">
        <w:tc>
          <w:tcPr>
            <w:tcW w:w="5000" w:type="pct"/>
            <w:shd w:val="clear" w:color="auto" w:fill="auto"/>
          </w:tcPr>
          <w:p w14:paraId="349F899D" w14:textId="77777777" w:rsidR="006E6902" w:rsidRPr="006560FE" w:rsidRDefault="006E6902" w:rsidP="006E6902">
            <w:pPr>
              <w:spacing w:after="0" w:line="240" w:lineRule="auto"/>
              <w:ind w:left="34"/>
              <w:jc w:val="center"/>
              <w:rPr>
                <w:rFonts w:ascii="Calibri" w:hAnsi="Calibri" w:cs="Arial"/>
                <w:b/>
                <w:color w:val="2E74B5" w:themeColor="accent1" w:themeShade="BF"/>
                <w:sz w:val="24"/>
                <w:szCs w:val="24"/>
                <w:u w:val="single"/>
              </w:rPr>
            </w:pPr>
          </w:p>
        </w:tc>
      </w:tr>
      <w:tr w:rsidR="006E6902" w:rsidRPr="00243816" w14:paraId="3DDB1F01" w14:textId="77777777" w:rsidTr="006E6902">
        <w:tc>
          <w:tcPr>
            <w:tcW w:w="5000" w:type="pct"/>
            <w:shd w:val="clear" w:color="auto" w:fill="FBE4D5" w:themeFill="accent2" w:themeFillTint="33"/>
          </w:tcPr>
          <w:p w14:paraId="2BB9CED2" w14:textId="77777777" w:rsidR="006E6902" w:rsidRDefault="006E6902" w:rsidP="006E6902">
            <w:pPr>
              <w:spacing w:after="0" w:line="240" w:lineRule="auto"/>
              <w:jc w:val="center"/>
              <w:rPr>
                <w:rFonts w:ascii="Calibri" w:hAnsi="Calibri" w:cs="Arial"/>
                <w:b/>
                <w:color w:val="2E74B5" w:themeColor="accent1" w:themeShade="BF"/>
                <w:sz w:val="24"/>
                <w:szCs w:val="24"/>
                <w:u w:val="single"/>
              </w:rPr>
            </w:pPr>
            <w:r>
              <w:rPr>
                <w:rFonts w:ascii="Calibri" w:hAnsi="Calibri" w:cs="Arial"/>
                <w:b/>
                <w:color w:val="2E74B5" w:themeColor="accent1" w:themeShade="BF"/>
                <w:sz w:val="24"/>
                <w:szCs w:val="24"/>
                <w:u w:val="single"/>
              </w:rPr>
              <w:t>Financial Planning</w:t>
            </w:r>
          </w:p>
          <w:p w14:paraId="12400A62" w14:textId="77777777" w:rsidR="006E6902" w:rsidRPr="006560FE" w:rsidRDefault="006E6902" w:rsidP="006E6902">
            <w:pPr>
              <w:spacing w:after="0" w:line="240" w:lineRule="auto"/>
              <w:jc w:val="center"/>
              <w:rPr>
                <w:rFonts w:ascii="Calibri" w:hAnsi="Calibri" w:cs="Arial"/>
                <w:color w:val="2E74B5" w:themeColor="accent1" w:themeShade="BF"/>
                <w:sz w:val="24"/>
                <w:szCs w:val="24"/>
              </w:rPr>
            </w:pPr>
            <w:r w:rsidRPr="006560FE">
              <w:rPr>
                <w:rFonts w:ascii="Calibri" w:hAnsi="Calibri" w:cs="Arial"/>
                <w:color w:val="595959" w:themeColor="text1" w:themeTint="A6"/>
                <w:sz w:val="22"/>
                <w:szCs w:val="22"/>
              </w:rPr>
              <w:t xml:space="preserve">This is an </w:t>
            </w:r>
            <w:r w:rsidRPr="006560FE">
              <w:rPr>
                <w:rFonts w:ascii="Calibri" w:hAnsi="Calibri" w:cs="Arial"/>
                <w:color w:val="595959" w:themeColor="text1" w:themeTint="A6"/>
                <w:sz w:val="22"/>
                <w:szCs w:val="22"/>
                <w:u w:val="single"/>
              </w:rPr>
              <w:t>ongoing review service</w:t>
            </w:r>
            <w:r w:rsidRPr="006560FE">
              <w:rPr>
                <w:rFonts w:ascii="Calibri" w:hAnsi="Calibri" w:cs="Arial"/>
                <w:color w:val="595959" w:themeColor="text1" w:themeTint="A6"/>
                <w:sz w:val="22"/>
                <w:szCs w:val="22"/>
              </w:rPr>
              <w:t xml:space="preserve"> suitable for customers who have an established investment or pension portfolio or have a range of assets forming the basis of their wealth</w:t>
            </w:r>
            <w:r>
              <w:rPr>
                <w:rFonts w:ascii="Calibri" w:hAnsi="Calibri" w:cs="Arial"/>
                <w:color w:val="595959" w:themeColor="text1" w:themeTint="A6"/>
                <w:sz w:val="22"/>
                <w:szCs w:val="22"/>
              </w:rPr>
              <w:t>,</w:t>
            </w:r>
            <w:r w:rsidRPr="006560FE">
              <w:rPr>
                <w:rFonts w:ascii="Calibri" w:hAnsi="Calibri" w:cs="Arial"/>
                <w:color w:val="595959" w:themeColor="text1" w:themeTint="A6"/>
                <w:sz w:val="22"/>
                <w:szCs w:val="22"/>
              </w:rPr>
              <w:t xml:space="preserve"> and upon which they are seeking to review and manage with our help. The aim of this level of ongoing service is to help customers maintain and grow the value of their wealth or to ensure that investment income levels are maintained. This level of service is also intended to help the customer increase their knowledge and experience in the financial markets.</w:t>
            </w:r>
          </w:p>
        </w:tc>
      </w:tr>
      <w:tr w:rsidR="006E6902" w:rsidRPr="00243816" w14:paraId="52A26BBF" w14:textId="77777777" w:rsidTr="006E6902">
        <w:tc>
          <w:tcPr>
            <w:tcW w:w="5000" w:type="pct"/>
            <w:shd w:val="clear" w:color="auto" w:fill="auto"/>
          </w:tcPr>
          <w:p w14:paraId="1A413531" w14:textId="77777777" w:rsidR="006E6902" w:rsidRPr="006560FE" w:rsidRDefault="006E6902" w:rsidP="006E6902">
            <w:pPr>
              <w:spacing w:after="0" w:line="240" w:lineRule="auto"/>
              <w:ind w:left="34"/>
              <w:jc w:val="center"/>
              <w:rPr>
                <w:rFonts w:ascii="Calibri" w:hAnsi="Calibri" w:cs="Arial"/>
                <w:b/>
                <w:color w:val="2E74B5" w:themeColor="accent1" w:themeShade="BF"/>
                <w:sz w:val="24"/>
                <w:szCs w:val="24"/>
                <w:u w:val="single"/>
              </w:rPr>
            </w:pPr>
          </w:p>
        </w:tc>
      </w:tr>
      <w:tr w:rsidR="006E6902" w:rsidRPr="00243816" w14:paraId="5AA8C626" w14:textId="77777777" w:rsidTr="006E6902">
        <w:tc>
          <w:tcPr>
            <w:tcW w:w="5000" w:type="pct"/>
            <w:shd w:val="clear" w:color="auto" w:fill="DBDBDB" w:themeFill="accent3" w:themeFillTint="66"/>
          </w:tcPr>
          <w:p w14:paraId="3C0C5B26" w14:textId="77777777" w:rsidR="006E6902" w:rsidRPr="006560FE" w:rsidRDefault="006E6902" w:rsidP="006E6902">
            <w:pPr>
              <w:spacing w:after="0" w:line="240" w:lineRule="auto"/>
              <w:jc w:val="center"/>
              <w:rPr>
                <w:rFonts w:ascii="Calibri" w:hAnsi="Calibri" w:cs="Arial"/>
                <w:b/>
                <w:color w:val="2E74B5" w:themeColor="accent1" w:themeShade="BF"/>
                <w:sz w:val="24"/>
                <w:szCs w:val="24"/>
              </w:rPr>
            </w:pPr>
            <w:r>
              <w:rPr>
                <w:rFonts w:ascii="Calibri" w:hAnsi="Calibri" w:cs="Arial"/>
                <w:b/>
                <w:color w:val="2E74B5" w:themeColor="accent1" w:themeShade="BF"/>
                <w:sz w:val="24"/>
                <w:szCs w:val="24"/>
                <w:u w:val="single"/>
              </w:rPr>
              <w:t xml:space="preserve">Wealth Management </w:t>
            </w:r>
          </w:p>
          <w:p w14:paraId="411195B3" w14:textId="77777777" w:rsidR="006E6902" w:rsidRPr="0000311A" w:rsidRDefault="006E6902" w:rsidP="006E6902">
            <w:pPr>
              <w:spacing w:after="0" w:line="240" w:lineRule="auto"/>
              <w:ind w:left="34"/>
              <w:rPr>
                <w:rFonts w:ascii="Calibri" w:hAnsi="Calibri" w:cs="Arial"/>
                <w:color w:val="2E74B5" w:themeColor="accent1" w:themeShade="BF"/>
                <w:sz w:val="24"/>
                <w:szCs w:val="24"/>
              </w:rPr>
            </w:pPr>
            <w:r w:rsidRPr="0000311A">
              <w:rPr>
                <w:rFonts w:ascii="Calibri" w:hAnsi="Calibri" w:cs="Arial"/>
                <w:color w:val="595959" w:themeColor="text1" w:themeTint="A6"/>
                <w:sz w:val="22"/>
                <w:szCs w:val="22"/>
              </w:rPr>
              <w:t xml:space="preserve">This is an </w:t>
            </w:r>
            <w:r w:rsidRPr="0000311A">
              <w:rPr>
                <w:rFonts w:ascii="Calibri" w:hAnsi="Calibri" w:cs="Arial"/>
                <w:color w:val="595959" w:themeColor="text1" w:themeTint="A6"/>
                <w:sz w:val="22"/>
                <w:szCs w:val="22"/>
                <w:u w:val="single"/>
              </w:rPr>
              <w:t>ongoing review service</w:t>
            </w:r>
            <w:r w:rsidRPr="0000311A">
              <w:rPr>
                <w:rFonts w:ascii="Calibri" w:hAnsi="Calibri" w:cs="Arial"/>
                <w:color w:val="595959" w:themeColor="text1" w:themeTint="A6"/>
                <w:sz w:val="22"/>
                <w:szCs w:val="22"/>
              </w:rPr>
              <w:t xml:space="preserve"> suitable for customers who are both knowledgeable and experienced investors</w:t>
            </w:r>
            <w:r>
              <w:rPr>
                <w:rFonts w:ascii="Calibri" w:hAnsi="Calibri" w:cs="Arial"/>
                <w:color w:val="595959" w:themeColor="text1" w:themeTint="A6"/>
                <w:sz w:val="22"/>
                <w:szCs w:val="22"/>
              </w:rPr>
              <w:t>,</w:t>
            </w:r>
            <w:r w:rsidRPr="0000311A">
              <w:rPr>
                <w:rFonts w:ascii="Calibri" w:hAnsi="Calibri" w:cs="Arial"/>
                <w:color w:val="595959" w:themeColor="text1" w:themeTint="A6"/>
                <w:sz w:val="22"/>
                <w:szCs w:val="22"/>
              </w:rPr>
              <w:t xml:space="preserve"> and who have already established an investment or pension portfolio.  The aim of this level of service is to provide a wealth preservation strategy</w:t>
            </w:r>
            <w:r>
              <w:rPr>
                <w:rFonts w:ascii="Calibri" w:hAnsi="Calibri" w:cs="Arial"/>
                <w:color w:val="595959" w:themeColor="text1" w:themeTint="A6"/>
                <w:sz w:val="22"/>
                <w:szCs w:val="22"/>
              </w:rPr>
              <w:t>,</w:t>
            </w:r>
            <w:r w:rsidRPr="0000311A">
              <w:rPr>
                <w:rFonts w:ascii="Calibri" w:hAnsi="Calibri" w:cs="Arial"/>
                <w:color w:val="595959" w:themeColor="text1" w:themeTint="A6"/>
                <w:sz w:val="22"/>
                <w:szCs w:val="22"/>
              </w:rPr>
              <w:t xml:space="preserve"> whilst assisting the customer in taking advantage o</w:t>
            </w:r>
            <w:r>
              <w:rPr>
                <w:rFonts w:ascii="Calibri" w:hAnsi="Calibri" w:cs="Arial"/>
                <w:color w:val="595959" w:themeColor="text1" w:themeTint="A6"/>
                <w:sz w:val="22"/>
                <w:szCs w:val="22"/>
              </w:rPr>
              <w:t>f</w:t>
            </w:r>
            <w:r w:rsidRPr="0000311A">
              <w:rPr>
                <w:rFonts w:ascii="Calibri" w:hAnsi="Calibri" w:cs="Arial"/>
                <w:color w:val="595959" w:themeColor="text1" w:themeTint="A6"/>
                <w:sz w:val="22"/>
                <w:szCs w:val="22"/>
              </w:rPr>
              <w:t xml:space="preserve"> alternative and non-mainstream investments that offer the opportunity for creating a sustainable growth in the customer’s wealth.</w:t>
            </w:r>
          </w:p>
        </w:tc>
      </w:tr>
    </w:tbl>
    <w:p w14:paraId="6B577969" w14:textId="77777777" w:rsidR="006E6902" w:rsidRPr="006E6902" w:rsidRDefault="006E6902" w:rsidP="006E6902">
      <w:pPr>
        <w:spacing w:after="0" w:line="240" w:lineRule="auto"/>
        <w:jc w:val="center"/>
        <w:rPr>
          <w:rFonts w:ascii="Calibri" w:hAnsi="Calibri" w:cs="Arial"/>
          <w:b/>
          <w:bCs/>
          <w:color w:val="000000" w:themeColor="text1"/>
          <w:sz w:val="24"/>
          <w:szCs w:val="24"/>
          <w:u w:val="single"/>
        </w:rPr>
      </w:pPr>
    </w:p>
    <w:p w14:paraId="4044346E" w14:textId="77777777" w:rsidR="00BD6733" w:rsidRPr="00A10C01" w:rsidRDefault="00BD6733" w:rsidP="00BD6733">
      <w:pPr>
        <w:spacing w:after="0" w:line="240" w:lineRule="auto"/>
        <w:rPr>
          <w:rFonts w:ascii="Calibri" w:hAnsi="Calibri" w:cs="Arial"/>
          <w:color w:val="767171" w:themeColor="background2" w:themeShade="80"/>
          <w:sz w:val="24"/>
          <w:szCs w:val="24"/>
        </w:rPr>
      </w:pPr>
    </w:p>
    <w:p w14:paraId="40443487" w14:textId="77777777" w:rsidR="00FE0858" w:rsidRDefault="00FE0858" w:rsidP="00C77DB8">
      <w:pPr>
        <w:pStyle w:val="iPDocumenttype"/>
        <w:spacing w:after="0" w:line="276" w:lineRule="auto"/>
        <w:jc w:val="both"/>
        <w:rPr>
          <w:rFonts w:ascii="Calibri" w:eastAsiaTheme="majorEastAsia" w:hAnsi="Calibri" w:cs="Arial"/>
          <w:caps w:val="0"/>
          <w:color w:val="2E74B5" w:themeColor="accent1" w:themeShade="BF"/>
          <w:szCs w:val="24"/>
        </w:rPr>
      </w:pPr>
    </w:p>
    <w:p w14:paraId="67511B94" w14:textId="77777777" w:rsidR="0000311A" w:rsidRPr="0000311A" w:rsidRDefault="0000311A" w:rsidP="00C77DB8">
      <w:pPr>
        <w:pStyle w:val="iPDocumenttype"/>
        <w:spacing w:after="0" w:line="276" w:lineRule="auto"/>
        <w:jc w:val="both"/>
        <w:rPr>
          <w:rFonts w:ascii="Calibri" w:eastAsiaTheme="majorEastAsia" w:hAnsi="Calibri" w:cs="Arial"/>
          <w:caps w:val="0"/>
          <w:color w:val="2E74B5" w:themeColor="accent1" w:themeShade="BF"/>
          <w:szCs w:val="24"/>
        </w:rPr>
      </w:pPr>
    </w:p>
    <w:p w14:paraId="4379AAF3" w14:textId="65DBF49E" w:rsidR="0000311A" w:rsidRDefault="0000311A" w:rsidP="0000311A">
      <w:pPr>
        <w:pStyle w:val="BodyText"/>
        <w:ind w:left="284"/>
        <w:jc w:val="center"/>
        <w:rPr>
          <w:rFonts w:ascii="Calibri" w:eastAsiaTheme="majorEastAsia" w:hAnsi="Calibri" w:cs="Arial"/>
          <w:caps/>
          <w:sz w:val="28"/>
          <w:szCs w:val="28"/>
        </w:rPr>
      </w:pPr>
    </w:p>
    <w:p w14:paraId="404434B8" w14:textId="77777777" w:rsidR="00485CC1" w:rsidRPr="00FE0858" w:rsidRDefault="00485CC1" w:rsidP="00AC3224">
      <w:pPr>
        <w:rPr>
          <w:rFonts w:cs="Arial"/>
          <w:sz w:val="20"/>
          <w:szCs w:val="20"/>
        </w:rPr>
      </w:pPr>
    </w:p>
    <w:sectPr w:rsidR="00485CC1" w:rsidRPr="00FE0858" w:rsidSect="00BB4072">
      <w:headerReference w:type="default" r:id="rId11"/>
      <w:footerReference w:type="default" r:id="rId12"/>
      <w:pgSz w:w="11906" w:h="16838" w:code="9"/>
      <w:pgMar w:top="1134" w:right="1440" w:bottom="1134" w:left="1440"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4434BF" w14:textId="77777777" w:rsidR="00DC268F" w:rsidRDefault="00DC268F" w:rsidP="00C77DB8">
      <w:pPr>
        <w:spacing w:after="0" w:line="240" w:lineRule="auto"/>
      </w:pPr>
      <w:r>
        <w:separator/>
      </w:r>
    </w:p>
  </w:endnote>
  <w:endnote w:type="continuationSeparator" w:id="0">
    <w:p w14:paraId="404434C0" w14:textId="77777777" w:rsidR="00DC268F" w:rsidRDefault="00DC268F" w:rsidP="00C77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2419A" w14:textId="607D03DF" w:rsidR="0030496D" w:rsidRDefault="0030496D">
    <w:pPr>
      <w:pStyle w:val="Footer"/>
    </w:pPr>
    <w:r w:rsidRPr="001B624A">
      <w:rPr>
        <w:rFonts w:ascii="Calibri" w:hAnsi="Calibri"/>
        <w:b/>
        <w:sz w:val="20"/>
        <w:szCs w:val="20"/>
      </w:rPr>
      <w:tab/>
      <w:t xml:space="preserve">Page </w:t>
    </w:r>
    <w:r w:rsidRPr="001B624A">
      <w:rPr>
        <w:rFonts w:ascii="Calibri" w:hAnsi="Calibri"/>
        <w:b/>
        <w:sz w:val="20"/>
        <w:szCs w:val="20"/>
      </w:rPr>
      <w:fldChar w:fldCharType="begin"/>
    </w:r>
    <w:r w:rsidRPr="001B624A">
      <w:rPr>
        <w:rFonts w:ascii="Calibri" w:hAnsi="Calibri"/>
        <w:b/>
        <w:sz w:val="20"/>
        <w:szCs w:val="20"/>
      </w:rPr>
      <w:instrText xml:space="preserve"> PAGE </w:instrText>
    </w:r>
    <w:r w:rsidRPr="001B624A">
      <w:rPr>
        <w:rFonts w:ascii="Calibri" w:hAnsi="Calibri"/>
        <w:b/>
        <w:sz w:val="20"/>
        <w:szCs w:val="20"/>
      </w:rPr>
      <w:fldChar w:fldCharType="separate"/>
    </w:r>
    <w:r w:rsidR="002D5846">
      <w:rPr>
        <w:rFonts w:ascii="Calibri" w:hAnsi="Calibri"/>
        <w:b/>
        <w:noProof/>
        <w:sz w:val="20"/>
        <w:szCs w:val="20"/>
      </w:rPr>
      <w:t>1</w:t>
    </w:r>
    <w:r w:rsidRPr="001B624A">
      <w:rPr>
        <w:rFonts w:ascii="Calibri" w:hAnsi="Calibri"/>
        <w:b/>
        <w:sz w:val="20"/>
        <w:szCs w:val="20"/>
      </w:rPr>
      <w:fldChar w:fldCharType="end"/>
    </w:r>
    <w:r w:rsidRPr="001B624A">
      <w:rPr>
        <w:rFonts w:ascii="Calibri" w:hAnsi="Calibri"/>
        <w:b/>
        <w:sz w:val="20"/>
        <w:szCs w:val="20"/>
      </w:rPr>
      <w:t xml:space="preserve"> of </w:t>
    </w:r>
    <w:r w:rsidRPr="001B624A">
      <w:rPr>
        <w:rFonts w:ascii="Calibri" w:hAnsi="Calibri"/>
        <w:b/>
        <w:sz w:val="20"/>
        <w:szCs w:val="20"/>
      </w:rPr>
      <w:fldChar w:fldCharType="begin"/>
    </w:r>
    <w:r w:rsidRPr="001B624A">
      <w:rPr>
        <w:rFonts w:ascii="Calibri" w:hAnsi="Calibri"/>
        <w:b/>
        <w:sz w:val="20"/>
        <w:szCs w:val="20"/>
      </w:rPr>
      <w:instrText xml:space="preserve"> NUMPAGES  </w:instrText>
    </w:r>
    <w:r w:rsidRPr="001B624A">
      <w:rPr>
        <w:rFonts w:ascii="Calibri" w:hAnsi="Calibri"/>
        <w:b/>
        <w:sz w:val="20"/>
        <w:szCs w:val="20"/>
      </w:rPr>
      <w:fldChar w:fldCharType="separate"/>
    </w:r>
    <w:r w:rsidR="002D5846">
      <w:rPr>
        <w:rFonts w:ascii="Calibri" w:hAnsi="Calibri"/>
        <w:b/>
        <w:noProof/>
        <w:sz w:val="20"/>
        <w:szCs w:val="20"/>
      </w:rPr>
      <w:t>2</w:t>
    </w:r>
    <w:r w:rsidRPr="001B624A">
      <w:rPr>
        <w:rFonts w:ascii="Calibri" w:hAnsi="Calibri"/>
        <w:b/>
        <w:sz w:val="20"/>
        <w:szCs w:val="20"/>
      </w:rPr>
      <w:fldChar w:fldCharType="end"/>
    </w:r>
    <w:r w:rsidRPr="001B624A">
      <w:rPr>
        <w:rFonts w:ascii="Calibri" w:hAnsi="Calibri"/>
        <w:b/>
        <w:sz w:val="20"/>
        <w:szCs w:val="20"/>
      </w:rPr>
      <w:t xml:space="preserve"> </w:t>
    </w:r>
    <w:r w:rsidRPr="001B624A">
      <w:rPr>
        <w:rFonts w:ascii="Calibri" w:hAnsi="Calibri"/>
        <w:b/>
        <w:sz w:val="20"/>
        <w:szCs w:val="20"/>
      </w:rPr>
      <w:tab/>
      <w:t xml:space="preserve">     </w:t>
    </w:r>
    <w:r w:rsidRPr="001B624A">
      <w:rPr>
        <w:rFonts w:ascii="Calibri" w:hAnsi="Calibri" w:cs="Calibri"/>
        <w:b/>
        <w:sz w:val="20"/>
        <w:szCs w:val="20"/>
      </w:rPr>
      <w:t xml:space="preserve">© </w:t>
    </w:r>
    <w:r>
      <w:rPr>
        <w:rFonts w:ascii="Calibri" w:hAnsi="Calibri" w:cs="Calibri"/>
        <w:b/>
        <w:sz w:val="20"/>
        <w:szCs w:val="20"/>
      </w:rP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434BD" w14:textId="77777777" w:rsidR="00DC268F" w:rsidRDefault="00DC268F" w:rsidP="00C77DB8">
      <w:pPr>
        <w:spacing w:after="0" w:line="240" w:lineRule="auto"/>
      </w:pPr>
      <w:r>
        <w:separator/>
      </w:r>
    </w:p>
  </w:footnote>
  <w:footnote w:type="continuationSeparator" w:id="0">
    <w:p w14:paraId="404434BE" w14:textId="77777777" w:rsidR="00DC268F" w:rsidRDefault="00DC268F" w:rsidP="00C77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8EB17" w14:textId="3AC6CCAB" w:rsidR="00BB4072" w:rsidRPr="001D1C7A" w:rsidRDefault="00BB4072" w:rsidP="00BB4072">
    <w:pPr>
      <w:pStyle w:val="Header"/>
      <w:jc w:val="center"/>
      <w:rPr>
        <w:color w:val="FF0000"/>
      </w:rPr>
    </w:pPr>
    <w:r>
      <w:rPr>
        <w:noProof/>
        <w:color w:val="FF0000"/>
        <w:lang w:eastAsia="en-GB"/>
      </w:rPr>
      <w:drawing>
        <wp:inline distT="0" distB="0" distL="0" distR="0" wp14:anchorId="3F07C261" wp14:editId="740D3C14">
          <wp:extent cx="904875" cy="1409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1409700"/>
                  </a:xfrm>
                  <a:prstGeom prst="rect">
                    <a:avLst/>
                  </a:prstGeom>
                  <a:noFill/>
                  <a:ln>
                    <a:noFill/>
                  </a:ln>
                </pic:spPr>
              </pic:pic>
            </a:graphicData>
          </a:graphic>
        </wp:inline>
      </w:drawing>
    </w:r>
  </w:p>
  <w:p w14:paraId="404434C1" w14:textId="66189400" w:rsidR="00C77DB8" w:rsidRPr="00FE0858" w:rsidRDefault="00C77DB8" w:rsidP="0044056A">
    <w:pPr>
      <w:pStyle w:val="Header"/>
      <w:tabs>
        <w:tab w:val="clear" w:pos="4513"/>
        <w:tab w:val="clear" w:pos="9026"/>
        <w:tab w:val="left" w:pos="1140"/>
      </w:tabs>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9195F"/>
    <w:multiLevelType w:val="hybridMultilevel"/>
    <w:tmpl w:val="2450985C"/>
    <w:lvl w:ilvl="0" w:tplc="D5F23E60">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186B41"/>
    <w:multiLevelType w:val="hybridMultilevel"/>
    <w:tmpl w:val="EE9EA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733FC"/>
    <w:multiLevelType w:val="hybridMultilevel"/>
    <w:tmpl w:val="FEFEE798"/>
    <w:lvl w:ilvl="0" w:tplc="D5F23E60">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80D468C"/>
    <w:multiLevelType w:val="hybridMultilevel"/>
    <w:tmpl w:val="907458A0"/>
    <w:lvl w:ilvl="0" w:tplc="4C5857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B9709B"/>
    <w:multiLevelType w:val="hybridMultilevel"/>
    <w:tmpl w:val="C004134A"/>
    <w:lvl w:ilvl="0" w:tplc="D5F23E60">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0B9759A"/>
    <w:multiLevelType w:val="hybridMultilevel"/>
    <w:tmpl w:val="E15C0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D438EE"/>
    <w:multiLevelType w:val="hybridMultilevel"/>
    <w:tmpl w:val="6DCC9068"/>
    <w:lvl w:ilvl="0" w:tplc="D5F23E6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E90284"/>
    <w:multiLevelType w:val="hybridMultilevel"/>
    <w:tmpl w:val="83E69D36"/>
    <w:lvl w:ilvl="0" w:tplc="D5F23E60">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0A94B76"/>
    <w:multiLevelType w:val="hybridMultilevel"/>
    <w:tmpl w:val="6D641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6F2BB4"/>
    <w:multiLevelType w:val="hybridMultilevel"/>
    <w:tmpl w:val="C78CD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4"/>
  </w:num>
  <w:num w:numId="4">
    <w:abstractNumId w:val="9"/>
  </w:num>
  <w:num w:numId="5">
    <w:abstractNumId w:val="6"/>
  </w:num>
  <w:num w:numId="6">
    <w:abstractNumId w:val="0"/>
  </w:num>
  <w:num w:numId="7">
    <w:abstractNumId w:val="7"/>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DB8"/>
    <w:rsid w:val="0000311A"/>
    <w:rsid w:val="00020C1D"/>
    <w:rsid w:val="00034B5D"/>
    <w:rsid w:val="00101623"/>
    <w:rsid w:val="00121CC9"/>
    <w:rsid w:val="00150818"/>
    <w:rsid w:val="00154266"/>
    <w:rsid w:val="00183B61"/>
    <w:rsid w:val="001A5BE9"/>
    <w:rsid w:val="00243816"/>
    <w:rsid w:val="002D5846"/>
    <w:rsid w:val="0030496D"/>
    <w:rsid w:val="00314002"/>
    <w:rsid w:val="003A0714"/>
    <w:rsid w:val="003A7717"/>
    <w:rsid w:val="003F383D"/>
    <w:rsid w:val="0043043F"/>
    <w:rsid w:val="0044056A"/>
    <w:rsid w:val="00485CC1"/>
    <w:rsid w:val="004E2495"/>
    <w:rsid w:val="006560FE"/>
    <w:rsid w:val="00666F79"/>
    <w:rsid w:val="006E6902"/>
    <w:rsid w:val="006F2733"/>
    <w:rsid w:val="00712BDA"/>
    <w:rsid w:val="00785FF2"/>
    <w:rsid w:val="00797554"/>
    <w:rsid w:val="007A3B06"/>
    <w:rsid w:val="00837839"/>
    <w:rsid w:val="008B3F27"/>
    <w:rsid w:val="009224DC"/>
    <w:rsid w:val="00A10C01"/>
    <w:rsid w:val="00A55B5A"/>
    <w:rsid w:val="00AC3224"/>
    <w:rsid w:val="00B12785"/>
    <w:rsid w:val="00B86893"/>
    <w:rsid w:val="00BB4072"/>
    <w:rsid w:val="00BB6B74"/>
    <w:rsid w:val="00BD6733"/>
    <w:rsid w:val="00BF0630"/>
    <w:rsid w:val="00C135B9"/>
    <w:rsid w:val="00C17B4F"/>
    <w:rsid w:val="00C77DB8"/>
    <w:rsid w:val="00D0305E"/>
    <w:rsid w:val="00D36EBE"/>
    <w:rsid w:val="00D445FC"/>
    <w:rsid w:val="00D80733"/>
    <w:rsid w:val="00DC268F"/>
    <w:rsid w:val="00DE68B4"/>
    <w:rsid w:val="00ED7F51"/>
    <w:rsid w:val="00F10D6E"/>
    <w:rsid w:val="00F614D1"/>
    <w:rsid w:val="00FE0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443445"/>
  <w15:chartTrackingRefBased/>
  <w15:docId w15:val="{717022FF-56C7-4D84-ACDE-6E7C0FBC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C77DB8"/>
    <w:pPr>
      <w:spacing w:after="120" w:line="240" w:lineRule="atLeast"/>
    </w:pPr>
    <w:rPr>
      <w:rFonts w:ascii="Arial" w:eastAsia="Calibri" w:hAnsi="Arial" w:cs="Times New Roman"/>
      <w:sz w:val="19"/>
      <w:szCs w:val="18"/>
      <w:lang w:val="en-US"/>
    </w:rPr>
  </w:style>
  <w:style w:type="paragraph" w:styleId="Heading3">
    <w:name w:val="heading 3"/>
    <w:basedOn w:val="Normal"/>
    <w:next w:val="Normal"/>
    <w:link w:val="Heading3Char"/>
    <w:uiPriority w:val="9"/>
    <w:semiHidden/>
    <w:unhideWhenUsed/>
    <w:qFormat/>
    <w:rsid w:val="00C77DB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7DB8"/>
    <w:pPr>
      <w:tabs>
        <w:tab w:val="center" w:pos="4513"/>
        <w:tab w:val="right" w:pos="9026"/>
      </w:tabs>
      <w:spacing w:after="0" w:line="240" w:lineRule="auto"/>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C77DB8"/>
  </w:style>
  <w:style w:type="paragraph" w:styleId="Footer">
    <w:name w:val="footer"/>
    <w:basedOn w:val="Normal"/>
    <w:link w:val="FooterChar"/>
    <w:uiPriority w:val="99"/>
    <w:unhideWhenUsed/>
    <w:rsid w:val="00C77DB8"/>
    <w:pPr>
      <w:tabs>
        <w:tab w:val="center" w:pos="4513"/>
        <w:tab w:val="right" w:pos="9026"/>
      </w:tabs>
      <w:spacing w:after="0" w:line="240" w:lineRule="auto"/>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C77DB8"/>
  </w:style>
  <w:style w:type="paragraph" w:customStyle="1" w:styleId="iPDoctitle">
    <w:name w:val="iP_Doc title"/>
    <w:basedOn w:val="Heading3"/>
    <w:uiPriority w:val="1"/>
    <w:rsid w:val="00C77DB8"/>
    <w:pPr>
      <w:keepNext w:val="0"/>
      <w:keepLines w:val="0"/>
      <w:spacing w:before="0" w:after="60" w:line="240" w:lineRule="auto"/>
    </w:pPr>
    <w:rPr>
      <w:rFonts w:ascii="Arial" w:hAnsi="Arial"/>
      <w:bCs/>
      <w:color w:val="44546A" w:themeColor="text2"/>
      <w:sz w:val="56"/>
      <w:szCs w:val="56"/>
    </w:rPr>
  </w:style>
  <w:style w:type="paragraph" w:customStyle="1" w:styleId="iPAuthorinfo">
    <w:name w:val="iP_Author info"/>
    <w:uiPriority w:val="3"/>
    <w:rsid w:val="00C77DB8"/>
    <w:pPr>
      <w:pBdr>
        <w:top w:val="single" w:sz="24" w:space="4" w:color="A5A5A5" w:themeColor="accent3"/>
      </w:pBdr>
      <w:spacing w:after="0" w:line="190" w:lineRule="exact"/>
    </w:pPr>
    <w:rPr>
      <w:rFonts w:ascii="Arial" w:eastAsia="Times New Roman" w:hAnsi="Arial" w:cs="Times New Roman"/>
      <w:color w:val="000000" w:themeColor="text1"/>
      <w:sz w:val="17"/>
      <w:szCs w:val="20"/>
      <w:lang w:val="en-US"/>
    </w:rPr>
  </w:style>
  <w:style w:type="paragraph" w:customStyle="1" w:styleId="iPDocumenttype">
    <w:name w:val="iP_Document type"/>
    <w:rsid w:val="00C77DB8"/>
    <w:pPr>
      <w:spacing w:after="120" w:line="240" w:lineRule="auto"/>
    </w:pPr>
    <w:rPr>
      <w:rFonts w:ascii="Arial" w:eastAsia="Times New Roman" w:hAnsi="Arial" w:cs="Times New Roman"/>
      <w:bCs/>
      <w:caps/>
      <w:color w:val="A5A5A5" w:themeColor="accent3"/>
      <w:sz w:val="24"/>
      <w:szCs w:val="20"/>
      <w:lang w:val="en-US"/>
    </w:rPr>
  </w:style>
  <w:style w:type="paragraph" w:customStyle="1" w:styleId="iPSupplementboxheading">
    <w:name w:val="iP_Supplement box heading"/>
    <w:basedOn w:val="Normal"/>
    <w:next w:val="Normal"/>
    <w:uiPriority w:val="13"/>
    <w:qFormat/>
    <w:rsid w:val="00C77DB8"/>
    <w:pPr>
      <w:spacing w:before="240" w:line="220" w:lineRule="atLeast"/>
    </w:pPr>
    <w:rPr>
      <w:rFonts w:eastAsia="Times New Roman"/>
      <w:b/>
      <w:bCs/>
      <w:caps/>
      <w:color w:val="44546A" w:themeColor="text2"/>
      <w:sz w:val="18"/>
      <w:szCs w:val="20"/>
    </w:rPr>
  </w:style>
  <w:style w:type="character" w:customStyle="1" w:styleId="Heading3Char">
    <w:name w:val="Heading 3 Char"/>
    <w:basedOn w:val="DefaultParagraphFont"/>
    <w:link w:val="Heading3"/>
    <w:uiPriority w:val="9"/>
    <w:semiHidden/>
    <w:rsid w:val="00C77DB8"/>
    <w:rPr>
      <w:rFonts w:asciiTheme="majorHAnsi" w:eastAsiaTheme="majorEastAsia" w:hAnsiTheme="majorHAnsi" w:cstheme="majorBidi"/>
      <w:color w:val="1F4D78" w:themeColor="accent1" w:themeShade="7F"/>
      <w:sz w:val="24"/>
      <w:szCs w:val="24"/>
      <w:lang w:val="en-US"/>
    </w:rPr>
  </w:style>
  <w:style w:type="table" w:styleId="ListTable3-Accent5">
    <w:name w:val="List Table 3 Accent 5"/>
    <w:basedOn w:val="TableNormal"/>
    <w:uiPriority w:val="48"/>
    <w:rsid w:val="00BD6733"/>
    <w:pPr>
      <w:spacing w:after="0" w:line="240" w:lineRule="auto"/>
    </w:pPr>
    <w:rPr>
      <w:rFonts w:eastAsiaTheme="minorEastAsia"/>
      <w:sz w:val="20"/>
      <w:szCs w:val="20"/>
      <w:lang w:eastAsia="en-GB"/>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BodyText">
    <w:name w:val="Body Text"/>
    <w:basedOn w:val="Normal"/>
    <w:link w:val="BodyTextChar"/>
    <w:rsid w:val="003F383D"/>
    <w:pPr>
      <w:spacing w:line="264" w:lineRule="auto"/>
    </w:pPr>
    <w:rPr>
      <w:rFonts w:asciiTheme="minorHAnsi" w:eastAsiaTheme="minorEastAsia" w:hAnsiTheme="minorHAnsi" w:cstheme="minorBidi"/>
      <w:sz w:val="20"/>
      <w:szCs w:val="20"/>
      <w:lang w:val="en-GB" w:eastAsia="en-GB"/>
    </w:rPr>
  </w:style>
  <w:style w:type="character" w:customStyle="1" w:styleId="BodyTextChar">
    <w:name w:val="Body Text Char"/>
    <w:basedOn w:val="DefaultParagraphFont"/>
    <w:link w:val="BodyText"/>
    <w:rsid w:val="003F383D"/>
    <w:rPr>
      <w:rFonts w:eastAsiaTheme="minorEastAsia"/>
      <w:sz w:val="20"/>
      <w:szCs w:val="20"/>
      <w:lang w:eastAsia="en-GB"/>
    </w:rPr>
  </w:style>
  <w:style w:type="paragraph" w:styleId="ListParagraph">
    <w:name w:val="List Paragraph"/>
    <w:basedOn w:val="Normal"/>
    <w:uiPriority w:val="34"/>
    <w:qFormat/>
    <w:rsid w:val="00121CC9"/>
    <w:pPr>
      <w:ind w:left="720"/>
      <w:contextualSpacing/>
    </w:pPr>
  </w:style>
  <w:style w:type="paragraph" w:styleId="BalloonText">
    <w:name w:val="Balloon Text"/>
    <w:basedOn w:val="Normal"/>
    <w:link w:val="BalloonTextChar"/>
    <w:uiPriority w:val="99"/>
    <w:semiHidden/>
    <w:unhideWhenUsed/>
    <w:rsid w:val="00121CC9"/>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121CC9"/>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026304">
      <w:bodyDiv w:val="1"/>
      <w:marLeft w:val="0"/>
      <w:marRight w:val="0"/>
      <w:marTop w:val="0"/>
      <w:marBottom w:val="0"/>
      <w:divBdr>
        <w:top w:val="none" w:sz="0" w:space="0" w:color="auto"/>
        <w:left w:val="none" w:sz="0" w:space="0" w:color="auto"/>
        <w:bottom w:val="none" w:sz="0" w:space="0" w:color="auto"/>
        <w:right w:val="none" w:sz="0" w:space="0" w:color="auto"/>
      </w:divBdr>
    </w:div>
    <w:div w:id="140052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9F8CC376422F4E87B9A41CF3289836" ma:contentTypeVersion="1" ma:contentTypeDescription="Create a new document." ma:contentTypeScope="" ma:versionID="5abe6b566dfbb803dd722b49f52d5bfc">
  <xsd:schema xmlns:xsd="http://www.w3.org/2001/XMLSchema" xmlns:xs="http://www.w3.org/2001/XMLSchema" xmlns:p="http://schemas.microsoft.com/office/2006/metadata/properties" xmlns:ns2="56e5a435-06fc-46cf-9fda-8fa57bb510bb" targetNamespace="http://schemas.microsoft.com/office/2006/metadata/properties" ma:root="true" ma:fieldsID="2761563cfeff31de62af471d8442aad1" ns2:_="">
    <xsd:import namespace="56e5a435-06fc-46cf-9fda-8fa57bb510b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5a435-06fc-46cf-9fda-8fa57bb510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572F38-5C1B-4268-AEA7-27FBDA97C7F7}">
  <ds:schemaRefs>
    <ds:schemaRef ds:uri="http://schemas.microsoft.com/office/infopath/2007/PartnerControls"/>
    <ds:schemaRef ds:uri="http://www.w3.org/XML/1998/namespace"/>
    <ds:schemaRef ds:uri="http://purl.org/dc/dcmitype/"/>
    <ds:schemaRef ds:uri="http://purl.org/dc/terms/"/>
    <ds:schemaRef ds:uri="http://purl.org/dc/elements/1.1/"/>
    <ds:schemaRef ds:uri="http://schemas.microsoft.com/office/2006/documentManagement/types"/>
    <ds:schemaRef ds:uri="56e5a435-06fc-46cf-9fda-8fa57bb510bb"/>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E29A5B1-120C-40BD-877C-CA7BD3BC1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5a435-06fc-46cf-9fda-8fa57bb51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8B346A-5044-4F91-BAD2-24277D250D5F}">
  <ds:schemaRefs>
    <ds:schemaRef ds:uri="http://schemas.openxmlformats.org/officeDocument/2006/bibliography"/>
  </ds:schemaRefs>
</ds:datastoreItem>
</file>

<file path=customXml/itemProps4.xml><?xml version="1.0" encoding="utf-8"?>
<ds:datastoreItem xmlns:ds="http://schemas.openxmlformats.org/officeDocument/2006/customXml" ds:itemID="{22563540-B213-4AA0-BACF-94F6863BF0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337</Words>
  <Characters>1921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Benveniste</dc:creator>
  <cp:keywords/>
  <dc:description/>
  <cp:lastModifiedBy>Mark Smithson</cp:lastModifiedBy>
  <cp:revision>2</cp:revision>
  <cp:lastPrinted>2017-11-01T14:16:00Z</cp:lastPrinted>
  <dcterms:created xsi:type="dcterms:W3CDTF">2021-03-15T10:02:00Z</dcterms:created>
  <dcterms:modified xsi:type="dcterms:W3CDTF">2021-03-15T10:02:00Z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0x010100DE9F8CC376422F4E87B9A41CF3289836</vt:lpwstr>
  </property>
</Properties>
</file>